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56C" w:rsidRPr="00076A57" w:rsidRDefault="00D1756C" w:rsidP="00DC4EAA">
      <w:pPr>
        <w:rPr>
          <w:rFonts w:ascii="Calibri" w:hAnsi="Calibri" w:cs="Calibri"/>
          <w:b/>
          <w:color w:val="5B9BD5" w:themeColor="accent1"/>
          <w:sz w:val="26"/>
          <w:szCs w:val="26"/>
        </w:rPr>
      </w:pPr>
    </w:p>
    <w:p w:rsidR="00E91677" w:rsidRDefault="00E91677" w:rsidP="00DC4EAA">
      <w:pPr>
        <w:rPr>
          <w:rFonts w:ascii="Calibri" w:hAnsi="Calibri" w:cs="Calibri"/>
          <w:b/>
          <w:color w:val="ED7D31" w:themeColor="accent2"/>
          <w:sz w:val="26"/>
          <w:szCs w:val="26"/>
        </w:rPr>
      </w:pPr>
      <w:r w:rsidRPr="005B26F5">
        <w:rPr>
          <w:rFonts w:ascii="Calibri" w:hAnsi="Calibri" w:cs="Calibri"/>
          <w:b/>
          <w:color w:val="ED7D31" w:themeColor="accent2"/>
          <w:sz w:val="26"/>
          <w:szCs w:val="26"/>
        </w:rPr>
        <w:t>Moduł XI. Odpowiedzialność państwa za zobowiązania publiczne – wybrane zagadnienia</w:t>
      </w:r>
      <w:r w:rsidR="005B26F5">
        <w:rPr>
          <w:rFonts w:ascii="Calibri" w:hAnsi="Calibri" w:cs="Calibri"/>
          <w:b/>
          <w:color w:val="ED7D31" w:themeColor="accent2"/>
          <w:sz w:val="26"/>
          <w:szCs w:val="26"/>
        </w:rPr>
        <w:t xml:space="preserve"> </w:t>
      </w:r>
    </w:p>
    <w:p w:rsidR="006E34BD" w:rsidRDefault="006E34BD" w:rsidP="00DC4EAA">
      <w:pPr>
        <w:rPr>
          <w:rFonts w:ascii="Calibri" w:hAnsi="Calibri" w:cs="Calibri"/>
          <w:b/>
          <w:color w:val="ED7D31" w:themeColor="accent2"/>
          <w:sz w:val="26"/>
          <w:szCs w:val="26"/>
        </w:rPr>
      </w:pPr>
    </w:p>
    <w:p w:rsidR="006E34BD" w:rsidRPr="006E34BD" w:rsidRDefault="006E34BD" w:rsidP="00A2228E">
      <w:pPr>
        <w:pStyle w:val="Akapitzlist"/>
        <w:numPr>
          <w:ilvl w:val="0"/>
          <w:numId w:val="1"/>
        </w:numPr>
        <w:rPr>
          <w:b/>
        </w:rPr>
      </w:pPr>
      <w:r w:rsidRPr="006E34BD">
        <w:rPr>
          <w:b/>
        </w:rPr>
        <w:t>Odpowiedzialność za wydanie prawomocnego  orzeczenia niezgodnego z prawem wymaga:</w:t>
      </w:r>
    </w:p>
    <w:p w:rsidR="006E34BD" w:rsidRPr="006E34BD" w:rsidRDefault="006E34BD" w:rsidP="00A2228E">
      <w:pPr>
        <w:pStyle w:val="Akapitzlist"/>
        <w:numPr>
          <w:ilvl w:val="0"/>
          <w:numId w:val="2"/>
        </w:numPr>
      </w:pPr>
      <w:r w:rsidRPr="006E34BD">
        <w:t>Prejudykatu (stwierdzenia niezgodności orzeczenia z prawem)</w:t>
      </w:r>
    </w:p>
    <w:p w:rsidR="006E34BD" w:rsidRPr="006E34BD" w:rsidRDefault="006E34BD" w:rsidP="00A2228E">
      <w:pPr>
        <w:pStyle w:val="Akapitzlist"/>
        <w:numPr>
          <w:ilvl w:val="0"/>
          <w:numId w:val="2"/>
        </w:numPr>
      </w:pPr>
      <w:r w:rsidRPr="006E34BD">
        <w:t>Skargi konstytucyjnej</w:t>
      </w:r>
    </w:p>
    <w:p w:rsidR="006E34BD" w:rsidRPr="006E34BD" w:rsidRDefault="006E34BD" w:rsidP="00A2228E">
      <w:pPr>
        <w:pStyle w:val="Akapitzlist"/>
        <w:numPr>
          <w:ilvl w:val="0"/>
          <w:numId w:val="2"/>
        </w:numPr>
      </w:pPr>
      <w:r w:rsidRPr="006E34BD">
        <w:t>Ustalenia winy składu orzekającego</w:t>
      </w:r>
    </w:p>
    <w:p w:rsidR="006E34BD" w:rsidRPr="006E34BD" w:rsidRDefault="006E34BD" w:rsidP="006E34BD"/>
    <w:p w:rsidR="006E34BD" w:rsidRPr="006E34BD" w:rsidRDefault="006E34BD" w:rsidP="00A2228E">
      <w:pPr>
        <w:pStyle w:val="Akapitzlist"/>
        <w:numPr>
          <w:ilvl w:val="0"/>
          <w:numId w:val="1"/>
        </w:numPr>
        <w:rPr>
          <w:b/>
        </w:rPr>
      </w:pPr>
      <w:r w:rsidRPr="006E34BD">
        <w:rPr>
          <w:rFonts w:eastAsiaTheme="minorEastAsia"/>
          <w:b/>
          <w:color w:val="000000" w:themeColor="text1"/>
          <w:kern w:val="24"/>
        </w:rPr>
        <w:t>W wypadku prawomocnych orzeczeń, od których skarga nie przysługuje, odszkodowania z tytułu szkody wyrządzonej przez wydanie prawomocnego orzeczenia niezgodnego z prawem można:</w:t>
      </w:r>
    </w:p>
    <w:p w:rsidR="006E34BD" w:rsidRPr="006E34BD" w:rsidRDefault="006E34BD" w:rsidP="00A2228E">
      <w:pPr>
        <w:pStyle w:val="Akapitzlist"/>
        <w:numPr>
          <w:ilvl w:val="0"/>
          <w:numId w:val="3"/>
        </w:numPr>
        <w:ind w:left="993" w:hanging="273"/>
        <w:rPr>
          <w:rFonts w:eastAsiaTheme="minorEastAsia"/>
          <w:color w:val="000000" w:themeColor="text1"/>
          <w:kern w:val="24"/>
        </w:rPr>
      </w:pPr>
      <w:r w:rsidRPr="006E34BD">
        <w:rPr>
          <w:rFonts w:eastAsiaTheme="minorEastAsia"/>
          <w:color w:val="000000" w:themeColor="text1"/>
          <w:kern w:val="24"/>
        </w:rPr>
        <w:t>domagać się bez uprzedniego stwierdzenia niezgodności orzeczenia z prawem w postępowaniu ze skargi</w:t>
      </w:r>
    </w:p>
    <w:p w:rsidR="006E34BD" w:rsidRPr="006E34BD" w:rsidRDefault="006E34BD" w:rsidP="00A2228E">
      <w:pPr>
        <w:pStyle w:val="Akapitzlist"/>
        <w:numPr>
          <w:ilvl w:val="0"/>
          <w:numId w:val="3"/>
        </w:numPr>
        <w:tabs>
          <w:tab w:val="left" w:pos="1134"/>
        </w:tabs>
        <w:ind w:left="993" w:hanging="273"/>
      </w:pPr>
      <w:r w:rsidRPr="006E34BD">
        <w:rPr>
          <w:rFonts w:eastAsiaTheme="minorEastAsia"/>
          <w:color w:val="000000" w:themeColor="text1"/>
          <w:kern w:val="24"/>
        </w:rPr>
        <w:t>nie można się domagać</w:t>
      </w:r>
    </w:p>
    <w:p w:rsidR="006E34BD" w:rsidRPr="006E34BD" w:rsidRDefault="006E34BD" w:rsidP="00A2228E">
      <w:pPr>
        <w:pStyle w:val="Akapitzlist"/>
        <w:numPr>
          <w:ilvl w:val="0"/>
          <w:numId w:val="3"/>
        </w:numPr>
        <w:ind w:left="993" w:hanging="273"/>
      </w:pPr>
      <w:r w:rsidRPr="006E34BD">
        <w:rPr>
          <w:rFonts w:eastAsiaTheme="minorEastAsia"/>
          <w:color w:val="000000" w:themeColor="text1"/>
          <w:kern w:val="24"/>
        </w:rPr>
        <w:t>można się domagać wyłącznie w sprawach, których wartość przedmiotu sporu nie przekraczała 50.000 zł</w:t>
      </w:r>
    </w:p>
    <w:p w:rsidR="006E34BD" w:rsidRPr="006E34BD" w:rsidRDefault="006E34BD" w:rsidP="006E34BD">
      <w:pPr>
        <w:pStyle w:val="Akapitzlist"/>
        <w:ind w:left="1284"/>
      </w:pPr>
    </w:p>
    <w:p w:rsidR="006E34BD" w:rsidRPr="006E34BD" w:rsidRDefault="006E34BD" w:rsidP="00A2228E">
      <w:pPr>
        <w:pStyle w:val="Akapitzlist"/>
        <w:numPr>
          <w:ilvl w:val="0"/>
          <w:numId w:val="1"/>
        </w:numPr>
        <w:rPr>
          <w:b/>
        </w:rPr>
      </w:pPr>
      <w:r w:rsidRPr="006E34BD">
        <w:rPr>
          <w:b/>
        </w:rPr>
        <w:t>Strona, która nie wniosła skargi na przewlekłość postępowania:</w:t>
      </w:r>
    </w:p>
    <w:p w:rsidR="006E34BD" w:rsidRPr="006E34BD" w:rsidRDefault="006E34BD" w:rsidP="00A2228E">
      <w:pPr>
        <w:pStyle w:val="Akapitzlist"/>
        <w:numPr>
          <w:ilvl w:val="0"/>
          <w:numId w:val="4"/>
        </w:numPr>
      </w:pPr>
      <w:r>
        <w:t>t</w:t>
      </w:r>
      <w:r w:rsidRPr="006E34BD">
        <w:t>raci prawi do żądania naprawienia szkody wynikłej z przewlekłości</w:t>
      </w:r>
    </w:p>
    <w:p w:rsidR="006E34BD" w:rsidRPr="006E34BD" w:rsidRDefault="006E34BD" w:rsidP="00A2228E">
      <w:pPr>
        <w:pStyle w:val="Akapitzlist"/>
        <w:numPr>
          <w:ilvl w:val="0"/>
          <w:numId w:val="4"/>
        </w:numPr>
      </w:pPr>
      <w:r>
        <w:t>m</w:t>
      </w:r>
      <w:r w:rsidRPr="006E34BD">
        <w:t xml:space="preserve">oże dochodzić naprawienia szkody na podstawie art. 417 KC po prawomocnym zakończeniu postępowania co do istoty sprawy </w:t>
      </w:r>
    </w:p>
    <w:p w:rsidR="006E34BD" w:rsidRPr="006E34BD" w:rsidRDefault="006E34BD" w:rsidP="00A2228E">
      <w:pPr>
        <w:pStyle w:val="Akapitzlist"/>
        <w:numPr>
          <w:ilvl w:val="0"/>
          <w:numId w:val="4"/>
        </w:numPr>
        <w:jc w:val="both"/>
      </w:pPr>
      <w:r>
        <w:t>m</w:t>
      </w:r>
      <w:r w:rsidRPr="006E34BD">
        <w:t>oże wnosić o naprawienie szkody wynikłej z przewlekłości w każdym czasie w trybie ustawy o  skardze na naruszenie prawa strony do rozpoznania sprawy w postępowaniu przygotowawczym prowadzonym lub nadzorowanym przez prokuratora i sądowym bez nieuzasadnionej zwłoki</w:t>
      </w:r>
    </w:p>
    <w:p w:rsidR="006E34BD" w:rsidRPr="006E34BD" w:rsidRDefault="006E34BD" w:rsidP="006E34BD">
      <w:pPr>
        <w:jc w:val="both"/>
      </w:pPr>
    </w:p>
    <w:p w:rsidR="006E34BD" w:rsidRPr="006E34BD" w:rsidRDefault="006E34BD" w:rsidP="00A2228E">
      <w:pPr>
        <w:pStyle w:val="Akapitzlist"/>
        <w:numPr>
          <w:ilvl w:val="0"/>
          <w:numId w:val="1"/>
        </w:numPr>
        <w:jc w:val="both"/>
        <w:rPr>
          <w:b/>
        </w:rPr>
      </w:pPr>
      <w:r w:rsidRPr="006E34BD">
        <w:rPr>
          <w:b/>
        </w:rPr>
        <w:t>Z pytaniem prawnym do Trybunału Sprawiedliwości może się zwrócić:</w:t>
      </w:r>
    </w:p>
    <w:p w:rsidR="006E34BD" w:rsidRPr="006E34BD" w:rsidRDefault="006E34BD" w:rsidP="00A2228E">
      <w:pPr>
        <w:pStyle w:val="Akapitzlist"/>
        <w:numPr>
          <w:ilvl w:val="0"/>
          <w:numId w:val="5"/>
        </w:numPr>
        <w:jc w:val="both"/>
      </w:pPr>
      <w:r w:rsidRPr="006E34BD">
        <w:t>Sąd</w:t>
      </w:r>
    </w:p>
    <w:p w:rsidR="006E34BD" w:rsidRPr="006E34BD" w:rsidRDefault="006E34BD" w:rsidP="00A2228E">
      <w:pPr>
        <w:pStyle w:val="Akapitzlist"/>
        <w:numPr>
          <w:ilvl w:val="0"/>
          <w:numId w:val="5"/>
        </w:numPr>
        <w:jc w:val="both"/>
      </w:pPr>
      <w:r w:rsidRPr="006E34BD">
        <w:t>Strona postępowania sądowego</w:t>
      </w:r>
    </w:p>
    <w:p w:rsidR="006E34BD" w:rsidRPr="006E34BD" w:rsidRDefault="006E34BD" w:rsidP="00A2228E">
      <w:pPr>
        <w:pStyle w:val="Akapitzlist"/>
        <w:numPr>
          <w:ilvl w:val="0"/>
          <w:numId w:val="5"/>
        </w:numPr>
        <w:jc w:val="both"/>
      </w:pPr>
      <w:r w:rsidRPr="006E34BD">
        <w:t>Wyłącznie Prokurator Generalny</w:t>
      </w:r>
    </w:p>
    <w:p w:rsidR="006E34BD" w:rsidRPr="006E34BD" w:rsidRDefault="006E34BD" w:rsidP="006E34BD">
      <w:pPr>
        <w:jc w:val="both"/>
      </w:pPr>
    </w:p>
    <w:p w:rsidR="006E34BD" w:rsidRPr="006E34BD" w:rsidRDefault="006E34BD" w:rsidP="00A2228E">
      <w:pPr>
        <w:pStyle w:val="Akapitzlist"/>
        <w:numPr>
          <w:ilvl w:val="0"/>
          <w:numId w:val="1"/>
        </w:numPr>
        <w:jc w:val="both"/>
        <w:rPr>
          <w:b/>
        </w:rPr>
      </w:pPr>
      <w:r w:rsidRPr="006E34BD">
        <w:rPr>
          <w:b/>
        </w:rPr>
        <w:t>W postępowaniu sądowo-administracyjnym skargę o stwierdzenie niezgodności z prawem prawomocnego orzeczenia wnosi się do sądu, który wydał zaskarżone orzeczenie, w terminie:</w:t>
      </w:r>
    </w:p>
    <w:p w:rsidR="006E34BD" w:rsidRPr="006E34BD" w:rsidRDefault="006E34BD" w:rsidP="00A2228E">
      <w:pPr>
        <w:pStyle w:val="Akapitzlist"/>
        <w:numPr>
          <w:ilvl w:val="0"/>
          <w:numId w:val="6"/>
        </w:numPr>
        <w:jc w:val="both"/>
      </w:pPr>
      <w:r w:rsidRPr="006E34BD">
        <w:t>dziesięciu od dnia jego uprawomocnienia się</w:t>
      </w:r>
    </w:p>
    <w:p w:rsidR="006E34BD" w:rsidRPr="006E34BD" w:rsidRDefault="006E34BD" w:rsidP="00A2228E">
      <w:pPr>
        <w:pStyle w:val="Akapitzlist"/>
        <w:numPr>
          <w:ilvl w:val="0"/>
          <w:numId w:val="6"/>
        </w:numPr>
        <w:jc w:val="both"/>
      </w:pPr>
      <w:r w:rsidRPr="006E34BD">
        <w:t>trzech miesięcy od dnia jego uprawomocnienia się</w:t>
      </w:r>
    </w:p>
    <w:p w:rsidR="009041FF" w:rsidRPr="006E34BD" w:rsidRDefault="006E34BD" w:rsidP="00A2228E">
      <w:pPr>
        <w:pStyle w:val="Akapitzlist"/>
        <w:numPr>
          <w:ilvl w:val="0"/>
          <w:numId w:val="6"/>
        </w:numPr>
        <w:jc w:val="both"/>
      </w:pPr>
      <w:r w:rsidRPr="006E34BD">
        <w:t>dwóch lat od dnia jego uprawomocnienia się</w:t>
      </w:r>
    </w:p>
    <w:p w:rsidR="006E34BD" w:rsidRPr="006E34BD" w:rsidRDefault="006E34BD" w:rsidP="006E34BD">
      <w:pPr>
        <w:pStyle w:val="Akapitzlist"/>
        <w:ind w:left="1080"/>
        <w:jc w:val="both"/>
        <w:rPr>
          <w:rFonts w:asciiTheme="minorHAnsi" w:hAnsiTheme="minorHAnsi" w:cstheme="minorHAnsi"/>
        </w:rPr>
      </w:pPr>
    </w:p>
    <w:p w:rsidR="00E91677" w:rsidRDefault="00E91677" w:rsidP="00DC4EAA">
      <w:pPr>
        <w:rPr>
          <w:rFonts w:ascii="Calibri" w:hAnsi="Calibri" w:cs="Calibri"/>
          <w:b/>
          <w:color w:val="ED7D31" w:themeColor="accent2"/>
          <w:sz w:val="26"/>
          <w:szCs w:val="26"/>
        </w:rPr>
      </w:pPr>
      <w:r w:rsidRPr="00B4799D">
        <w:rPr>
          <w:rFonts w:ascii="Calibri" w:hAnsi="Calibri" w:cs="Calibri"/>
          <w:b/>
          <w:color w:val="ED7D31" w:themeColor="accent2"/>
          <w:sz w:val="26"/>
          <w:szCs w:val="26"/>
        </w:rPr>
        <w:t>Moduł XIII. Teleinformatyka śledcza. Dokumenty w formie elektronicznej</w:t>
      </w:r>
      <w:r w:rsidR="0033483C" w:rsidRPr="00B4799D">
        <w:rPr>
          <w:rFonts w:ascii="Calibri" w:hAnsi="Calibri" w:cs="Calibri"/>
          <w:b/>
          <w:color w:val="ED7D31" w:themeColor="accent2"/>
          <w:sz w:val="26"/>
          <w:szCs w:val="26"/>
        </w:rPr>
        <w:t xml:space="preserve"> </w:t>
      </w:r>
    </w:p>
    <w:p w:rsidR="005B26F5" w:rsidRDefault="005B26F5" w:rsidP="00DC4EAA">
      <w:pPr>
        <w:rPr>
          <w:rFonts w:ascii="Calibri" w:hAnsi="Calibri" w:cs="Calibri"/>
          <w:b/>
          <w:color w:val="ED7D31" w:themeColor="accent2"/>
          <w:sz w:val="26"/>
          <w:szCs w:val="26"/>
        </w:rPr>
      </w:pPr>
    </w:p>
    <w:p w:rsidR="00BF61EA" w:rsidRPr="00BF61EA" w:rsidRDefault="00BF61EA" w:rsidP="00BF61EA">
      <w:pPr>
        <w:autoSpaceDE w:val="0"/>
        <w:autoSpaceDN w:val="0"/>
        <w:adjustRightInd w:val="0"/>
        <w:ind w:firstLine="284"/>
        <w:rPr>
          <w:rFonts w:eastAsiaTheme="minorHAnsi"/>
          <w:b/>
          <w:lang w:eastAsia="en-US"/>
        </w:rPr>
      </w:pPr>
      <w:r w:rsidRPr="00BF61EA">
        <w:rPr>
          <w:rFonts w:eastAsiaTheme="minorHAnsi"/>
          <w:b/>
          <w:lang w:eastAsia="en-US"/>
        </w:rPr>
        <w:t>1. Wskaż walory dowodu elektronicznego:</w:t>
      </w:r>
    </w:p>
    <w:p w:rsidR="00BF61EA" w:rsidRPr="00BF61EA" w:rsidRDefault="00BF61EA" w:rsidP="00BF61EA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a. </w:t>
      </w:r>
      <w:r w:rsidRPr="00BF61EA">
        <w:rPr>
          <w:rFonts w:eastAsiaTheme="minorHAnsi"/>
          <w:lang w:eastAsia="en-US"/>
        </w:rPr>
        <w:t>drogi, legalny</w:t>
      </w:r>
    </w:p>
    <w:p w:rsidR="00BF61EA" w:rsidRPr="00BF61EA" w:rsidRDefault="00BF61EA" w:rsidP="00BF61EA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b.</w:t>
      </w:r>
      <w:r w:rsidRPr="00BF61EA">
        <w:rPr>
          <w:rFonts w:eastAsiaTheme="minorHAnsi"/>
          <w:lang w:eastAsia="en-US"/>
        </w:rPr>
        <w:t xml:space="preserve"> kompletny, jedyny</w:t>
      </w:r>
    </w:p>
    <w:p w:rsidR="00BF61EA" w:rsidRDefault="00BF61EA" w:rsidP="00BF61EA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c.</w:t>
      </w:r>
      <w:r w:rsidRPr="00BF61EA">
        <w:rPr>
          <w:rFonts w:eastAsiaTheme="minorHAnsi"/>
          <w:lang w:eastAsia="en-US"/>
        </w:rPr>
        <w:t xml:space="preserve"> autentyczny, wierny</w:t>
      </w:r>
    </w:p>
    <w:p w:rsidR="00BF61EA" w:rsidRDefault="00BF61EA" w:rsidP="00BF61E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F61EA" w:rsidRPr="00BF61EA" w:rsidRDefault="00BF61EA" w:rsidP="00BF61E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F61EA" w:rsidRPr="00BF61EA" w:rsidRDefault="00BF61EA" w:rsidP="00BF61EA">
      <w:pPr>
        <w:autoSpaceDE w:val="0"/>
        <w:autoSpaceDN w:val="0"/>
        <w:adjustRightInd w:val="0"/>
        <w:ind w:firstLine="284"/>
        <w:rPr>
          <w:rFonts w:eastAsiaTheme="minorHAnsi"/>
          <w:b/>
          <w:lang w:eastAsia="en-US"/>
        </w:rPr>
      </w:pPr>
      <w:r w:rsidRPr="00BF61EA">
        <w:rPr>
          <w:rFonts w:eastAsiaTheme="minorHAnsi"/>
          <w:b/>
          <w:lang w:eastAsia="en-US"/>
        </w:rPr>
        <w:lastRenderedPageBreak/>
        <w:t>2. Co to są metadane</w:t>
      </w:r>
    </w:p>
    <w:p w:rsidR="00BF61EA" w:rsidRPr="00BF61EA" w:rsidRDefault="00BF61EA" w:rsidP="00BF61EA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a.</w:t>
      </w:r>
      <w:r w:rsidRPr="00BF61EA">
        <w:rPr>
          <w:rFonts w:eastAsiaTheme="minorHAnsi"/>
          <w:lang w:eastAsia="en-US"/>
        </w:rPr>
        <w:t xml:space="preserve"> obrazki w obrazku</w:t>
      </w:r>
    </w:p>
    <w:p w:rsidR="00BF61EA" w:rsidRPr="00BF61EA" w:rsidRDefault="00BF61EA" w:rsidP="00BF61EA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b.</w:t>
      </w:r>
      <w:r w:rsidRPr="00BF61EA">
        <w:rPr>
          <w:rFonts w:eastAsiaTheme="minorHAnsi"/>
          <w:lang w:eastAsia="en-US"/>
        </w:rPr>
        <w:t xml:space="preserve"> dane w danych</w:t>
      </w:r>
    </w:p>
    <w:p w:rsidR="00BF61EA" w:rsidRDefault="00BF61EA" w:rsidP="00BF61EA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c.</w:t>
      </w:r>
      <w:r w:rsidRPr="00BF61EA">
        <w:rPr>
          <w:rFonts w:eastAsiaTheme="minorHAnsi"/>
          <w:lang w:eastAsia="en-US"/>
        </w:rPr>
        <w:t xml:space="preserve"> mniejsze bazy danych</w:t>
      </w:r>
    </w:p>
    <w:p w:rsidR="00BF61EA" w:rsidRPr="00BF61EA" w:rsidRDefault="00BF61EA" w:rsidP="00BF61E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F61EA" w:rsidRPr="00BF61EA" w:rsidRDefault="00BF61EA" w:rsidP="00BF61EA">
      <w:pPr>
        <w:autoSpaceDE w:val="0"/>
        <w:autoSpaceDN w:val="0"/>
        <w:adjustRightInd w:val="0"/>
        <w:ind w:firstLine="284"/>
        <w:rPr>
          <w:rFonts w:eastAsiaTheme="minorHAnsi"/>
          <w:b/>
          <w:lang w:eastAsia="en-US"/>
        </w:rPr>
      </w:pPr>
      <w:r w:rsidRPr="00BF61EA">
        <w:rPr>
          <w:rFonts w:eastAsiaTheme="minorHAnsi"/>
          <w:b/>
          <w:lang w:eastAsia="en-US"/>
        </w:rPr>
        <w:t>3. Wskaż program księgowy</w:t>
      </w:r>
    </w:p>
    <w:p w:rsidR="00BF61EA" w:rsidRPr="00BF61EA" w:rsidRDefault="00BF61EA" w:rsidP="00BF61EA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a.</w:t>
      </w:r>
      <w:r w:rsidRPr="00BF61EA">
        <w:rPr>
          <w:rFonts w:eastAsiaTheme="minorHAnsi"/>
          <w:lang w:eastAsia="en-US"/>
        </w:rPr>
        <w:t xml:space="preserve"> WF Mag</w:t>
      </w:r>
    </w:p>
    <w:p w:rsidR="00BF61EA" w:rsidRPr="00BF61EA" w:rsidRDefault="00BF61EA" w:rsidP="00BF61EA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b.</w:t>
      </w:r>
      <w:r w:rsidRPr="00BF61EA">
        <w:rPr>
          <w:rFonts w:eastAsiaTheme="minorHAnsi"/>
          <w:lang w:eastAsia="en-US"/>
        </w:rPr>
        <w:t xml:space="preserve"> Microsoft Windows</w:t>
      </w:r>
    </w:p>
    <w:p w:rsidR="00BF61EA" w:rsidRDefault="00BF61EA" w:rsidP="00B00B73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bookmarkStart w:id="0" w:name="_GoBack"/>
      <w:bookmarkEnd w:id="0"/>
      <w:r>
        <w:rPr>
          <w:rFonts w:eastAsiaTheme="minorHAnsi"/>
          <w:lang w:eastAsia="en-US"/>
        </w:rPr>
        <w:t>c.</w:t>
      </w:r>
      <w:r w:rsidRPr="00BF61EA">
        <w:rPr>
          <w:rFonts w:eastAsiaTheme="minorHAnsi"/>
          <w:lang w:eastAsia="en-US"/>
        </w:rPr>
        <w:t xml:space="preserve"> </w:t>
      </w:r>
      <w:proofErr w:type="spellStart"/>
      <w:r w:rsidRPr="00BF61EA">
        <w:rPr>
          <w:rFonts w:eastAsiaTheme="minorHAnsi"/>
          <w:lang w:eastAsia="en-US"/>
        </w:rPr>
        <w:t>Ubuntu</w:t>
      </w:r>
      <w:proofErr w:type="spellEnd"/>
    </w:p>
    <w:p w:rsidR="00BF61EA" w:rsidRPr="00BF61EA" w:rsidRDefault="00BF61EA" w:rsidP="00BF61E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F61EA" w:rsidRPr="00BF61EA" w:rsidRDefault="00BF61EA" w:rsidP="00BF61EA">
      <w:pPr>
        <w:autoSpaceDE w:val="0"/>
        <w:autoSpaceDN w:val="0"/>
        <w:adjustRightInd w:val="0"/>
        <w:ind w:firstLine="284"/>
        <w:rPr>
          <w:rFonts w:eastAsiaTheme="minorHAnsi"/>
          <w:b/>
          <w:lang w:eastAsia="en-US"/>
        </w:rPr>
      </w:pPr>
      <w:r w:rsidRPr="00BF61EA">
        <w:rPr>
          <w:rFonts w:eastAsiaTheme="minorHAnsi"/>
          <w:b/>
          <w:lang w:eastAsia="en-US"/>
        </w:rPr>
        <w:t>4. Wskaż program bazę danych</w:t>
      </w:r>
    </w:p>
    <w:p w:rsidR="00BF61EA" w:rsidRPr="00BF61EA" w:rsidRDefault="00BF61EA" w:rsidP="00BF61EA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a.</w:t>
      </w:r>
      <w:r w:rsidRPr="00BF61EA">
        <w:rPr>
          <w:rFonts w:eastAsiaTheme="minorHAnsi"/>
          <w:lang w:eastAsia="en-US"/>
        </w:rPr>
        <w:t xml:space="preserve"> </w:t>
      </w:r>
      <w:proofErr w:type="spellStart"/>
      <w:r w:rsidRPr="00BF61EA">
        <w:rPr>
          <w:rFonts w:eastAsiaTheme="minorHAnsi"/>
          <w:lang w:eastAsia="en-US"/>
        </w:rPr>
        <w:t>Debian</w:t>
      </w:r>
      <w:proofErr w:type="spellEnd"/>
    </w:p>
    <w:p w:rsidR="00BF61EA" w:rsidRPr="00BF61EA" w:rsidRDefault="00BF61EA" w:rsidP="00BF61EA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b.</w:t>
      </w:r>
      <w:r w:rsidRPr="00BF61EA">
        <w:rPr>
          <w:rFonts w:eastAsiaTheme="minorHAnsi"/>
          <w:lang w:eastAsia="en-US"/>
        </w:rPr>
        <w:t xml:space="preserve"> Microsoft MS SQL</w:t>
      </w:r>
    </w:p>
    <w:p w:rsidR="00BF61EA" w:rsidRDefault="00BF61EA" w:rsidP="00BF61EA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c.</w:t>
      </w:r>
      <w:r w:rsidRPr="00BF61EA">
        <w:rPr>
          <w:rFonts w:eastAsiaTheme="minorHAnsi"/>
          <w:lang w:eastAsia="en-US"/>
        </w:rPr>
        <w:t xml:space="preserve"> </w:t>
      </w:r>
      <w:proofErr w:type="spellStart"/>
      <w:r w:rsidRPr="00BF61EA">
        <w:rPr>
          <w:rFonts w:eastAsiaTheme="minorHAnsi"/>
          <w:lang w:eastAsia="en-US"/>
        </w:rPr>
        <w:t>Abbyy</w:t>
      </w:r>
      <w:proofErr w:type="spellEnd"/>
    </w:p>
    <w:p w:rsidR="00BF61EA" w:rsidRPr="00BF61EA" w:rsidRDefault="00BF61EA" w:rsidP="00BF61E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BF61EA" w:rsidRPr="00BF61EA" w:rsidRDefault="00BF61EA" w:rsidP="00BF61EA">
      <w:pPr>
        <w:autoSpaceDE w:val="0"/>
        <w:autoSpaceDN w:val="0"/>
        <w:adjustRightInd w:val="0"/>
        <w:ind w:firstLine="426"/>
        <w:rPr>
          <w:rFonts w:eastAsiaTheme="minorHAnsi"/>
          <w:b/>
          <w:lang w:eastAsia="en-US"/>
        </w:rPr>
      </w:pPr>
      <w:r w:rsidRPr="00BF61EA">
        <w:rPr>
          <w:rFonts w:eastAsiaTheme="minorHAnsi"/>
          <w:b/>
          <w:lang w:eastAsia="en-US"/>
        </w:rPr>
        <w:t>5. Wskaż licencję „wirusową”</w:t>
      </w:r>
    </w:p>
    <w:p w:rsidR="00BF61EA" w:rsidRPr="00BF61EA" w:rsidRDefault="00BF61EA" w:rsidP="00BF61EA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a.</w:t>
      </w:r>
      <w:r w:rsidRPr="00BF61EA">
        <w:rPr>
          <w:rFonts w:eastAsiaTheme="minorHAnsi"/>
          <w:lang w:eastAsia="en-US"/>
        </w:rPr>
        <w:t xml:space="preserve"> GNU GPL</w:t>
      </w:r>
    </w:p>
    <w:p w:rsidR="00BF61EA" w:rsidRPr="00BF61EA" w:rsidRDefault="00BF61EA" w:rsidP="00BF61EA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b.</w:t>
      </w:r>
      <w:r w:rsidRPr="00BF61EA">
        <w:rPr>
          <w:rFonts w:eastAsiaTheme="minorHAnsi"/>
          <w:lang w:eastAsia="en-US"/>
        </w:rPr>
        <w:t xml:space="preserve"> Shareware</w:t>
      </w:r>
    </w:p>
    <w:p w:rsidR="00BF61EA" w:rsidRPr="00BF61EA" w:rsidRDefault="00BF61EA" w:rsidP="00BF61EA">
      <w:pPr>
        <w:ind w:firstLine="567"/>
        <w:rPr>
          <w:b/>
          <w:color w:val="ED7D31" w:themeColor="accent2"/>
          <w:sz w:val="26"/>
          <w:szCs w:val="26"/>
        </w:rPr>
      </w:pPr>
      <w:r>
        <w:rPr>
          <w:rFonts w:eastAsiaTheme="minorHAnsi"/>
          <w:lang w:eastAsia="en-US"/>
        </w:rPr>
        <w:t>c.</w:t>
      </w:r>
      <w:r w:rsidRPr="00BF61EA">
        <w:rPr>
          <w:rFonts w:eastAsiaTheme="minorHAnsi"/>
          <w:lang w:eastAsia="en-US"/>
        </w:rPr>
        <w:t xml:space="preserve"> Freeware</w:t>
      </w:r>
    </w:p>
    <w:p w:rsidR="00BF61EA" w:rsidRPr="00B4799D" w:rsidRDefault="00BF61EA" w:rsidP="00DC4EAA">
      <w:pPr>
        <w:rPr>
          <w:rFonts w:ascii="Calibri" w:hAnsi="Calibri" w:cs="Calibri"/>
          <w:b/>
          <w:color w:val="ED7D31" w:themeColor="accent2"/>
          <w:sz w:val="26"/>
          <w:szCs w:val="26"/>
        </w:rPr>
      </w:pPr>
    </w:p>
    <w:p w:rsidR="00E91677" w:rsidRDefault="00E91677" w:rsidP="00DC4EAA">
      <w:pPr>
        <w:rPr>
          <w:rFonts w:ascii="Calibri" w:hAnsi="Calibri" w:cs="Calibri"/>
          <w:b/>
          <w:color w:val="ED7D31" w:themeColor="accent2"/>
          <w:sz w:val="26"/>
          <w:szCs w:val="26"/>
        </w:rPr>
      </w:pPr>
      <w:r w:rsidRPr="00B4799D">
        <w:rPr>
          <w:rFonts w:ascii="Calibri" w:hAnsi="Calibri" w:cs="Calibri"/>
          <w:b/>
          <w:color w:val="ED7D31" w:themeColor="accent2"/>
          <w:sz w:val="26"/>
          <w:szCs w:val="26"/>
        </w:rPr>
        <w:t>Moduł XV. Przestępstwa przeciwko prawom wierzyciela</w:t>
      </w:r>
      <w:r w:rsidR="006E34BD">
        <w:rPr>
          <w:rFonts w:ascii="Calibri" w:hAnsi="Calibri" w:cs="Calibri"/>
          <w:b/>
          <w:color w:val="ED7D31" w:themeColor="accent2"/>
          <w:sz w:val="26"/>
          <w:szCs w:val="26"/>
        </w:rPr>
        <w:t xml:space="preserve"> </w:t>
      </w:r>
    </w:p>
    <w:p w:rsidR="006E34BD" w:rsidRDefault="006E34BD" w:rsidP="006E34BD">
      <w:pPr>
        <w:rPr>
          <w:rFonts w:asciiTheme="minorHAnsi" w:hAnsiTheme="minorHAnsi" w:cstheme="minorHAnsi"/>
        </w:rPr>
      </w:pPr>
    </w:p>
    <w:p w:rsidR="006E34BD" w:rsidRPr="006E34BD" w:rsidRDefault="006E34BD" w:rsidP="00A2228E">
      <w:pPr>
        <w:pStyle w:val="Akapitzlist"/>
        <w:numPr>
          <w:ilvl w:val="0"/>
          <w:numId w:val="7"/>
        </w:numPr>
        <w:rPr>
          <w:b/>
        </w:rPr>
      </w:pPr>
      <w:r w:rsidRPr="006E34BD">
        <w:rPr>
          <w:b/>
        </w:rPr>
        <w:t>Znamiona czynu zabronionego określonego w art. 302 § 1 KK wyczerpuje także ten, kto w razie grożącej mu niewypłacalności lub upadłości, nie mogąc zaspokoić wszystkich wierzycieli, realizuje opisane w tym przepisie zachowania, czym działa na szkodę:</w:t>
      </w:r>
    </w:p>
    <w:p w:rsidR="006E34BD" w:rsidRPr="006E34BD" w:rsidRDefault="006E34BD" w:rsidP="00BF61EA">
      <w:pPr>
        <w:pStyle w:val="Akapitzlist"/>
        <w:numPr>
          <w:ilvl w:val="0"/>
          <w:numId w:val="8"/>
        </w:numPr>
      </w:pPr>
      <w:r w:rsidRPr="006E34BD">
        <w:t>chociażby jednego wierzyciela</w:t>
      </w:r>
    </w:p>
    <w:p w:rsidR="006E34BD" w:rsidRPr="006E34BD" w:rsidRDefault="006E34BD" w:rsidP="00A2228E">
      <w:pPr>
        <w:pStyle w:val="Akapitzlist"/>
        <w:numPr>
          <w:ilvl w:val="0"/>
          <w:numId w:val="8"/>
        </w:numPr>
      </w:pPr>
      <w:r w:rsidRPr="006E34BD">
        <w:t>co najmniej dwóch wierzycieli</w:t>
      </w:r>
    </w:p>
    <w:p w:rsidR="006E34BD" w:rsidRPr="006E34BD" w:rsidRDefault="006E34BD" w:rsidP="00A2228E">
      <w:pPr>
        <w:pStyle w:val="Akapitzlist"/>
        <w:numPr>
          <w:ilvl w:val="0"/>
          <w:numId w:val="8"/>
        </w:numPr>
      </w:pPr>
      <w:r w:rsidRPr="006E34BD">
        <w:t>potencjalnych wierzycieli, nawet jeśli ich wierzytelności nie są wymagalne</w:t>
      </w:r>
    </w:p>
    <w:p w:rsidR="006E34BD" w:rsidRPr="006E34BD" w:rsidRDefault="006E34BD" w:rsidP="006E34BD"/>
    <w:p w:rsidR="006E34BD" w:rsidRPr="006E34BD" w:rsidRDefault="006E34BD" w:rsidP="00A2228E">
      <w:pPr>
        <w:pStyle w:val="Akapitzlist"/>
        <w:numPr>
          <w:ilvl w:val="0"/>
          <w:numId w:val="7"/>
        </w:numPr>
        <w:rPr>
          <w:b/>
        </w:rPr>
      </w:pPr>
      <w:r w:rsidRPr="006E34BD">
        <w:rPr>
          <w:b/>
        </w:rPr>
        <w:t>Transferowe niezaspokojenie należności wierzycieli wymaga:</w:t>
      </w:r>
    </w:p>
    <w:p w:rsidR="006E34BD" w:rsidRPr="006E34BD" w:rsidRDefault="006E34BD" w:rsidP="00BF61EA">
      <w:pPr>
        <w:pStyle w:val="Akapitzlist"/>
        <w:numPr>
          <w:ilvl w:val="0"/>
          <w:numId w:val="9"/>
        </w:numPr>
      </w:pPr>
      <w:r w:rsidRPr="006E34BD">
        <w:t>Zamiaru bezpośredniego</w:t>
      </w:r>
    </w:p>
    <w:p w:rsidR="006E34BD" w:rsidRPr="006E34BD" w:rsidRDefault="006E34BD" w:rsidP="00A2228E">
      <w:pPr>
        <w:pStyle w:val="Akapitzlist"/>
        <w:numPr>
          <w:ilvl w:val="0"/>
          <w:numId w:val="9"/>
        </w:numPr>
      </w:pPr>
      <w:r w:rsidRPr="006E34BD">
        <w:t>Zamiaru ewentualnego</w:t>
      </w:r>
    </w:p>
    <w:p w:rsidR="006E34BD" w:rsidRPr="006E34BD" w:rsidRDefault="006E34BD" w:rsidP="00A2228E">
      <w:pPr>
        <w:pStyle w:val="Akapitzlist"/>
        <w:numPr>
          <w:ilvl w:val="0"/>
          <w:numId w:val="9"/>
        </w:numPr>
      </w:pPr>
      <w:r w:rsidRPr="006E34BD">
        <w:t>Może być nieumyślne</w:t>
      </w:r>
    </w:p>
    <w:p w:rsidR="006E34BD" w:rsidRPr="006E34BD" w:rsidRDefault="006E34BD" w:rsidP="006E34BD"/>
    <w:p w:rsidR="006E34BD" w:rsidRPr="006E34BD" w:rsidRDefault="006E34BD" w:rsidP="00A2228E">
      <w:pPr>
        <w:pStyle w:val="Akapitzlist"/>
        <w:numPr>
          <w:ilvl w:val="0"/>
          <w:numId w:val="7"/>
        </w:numPr>
        <w:rPr>
          <w:b/>
        </w:rPr>
      </w:pPr>
      <w:r w:rsidRPr="006E34BD">
        <w:rPr>
          <w:b/>
        </w:rPr>
        <w:t>Odpowiedzialność karną za niezgłoszenie wniosku o upadłość spółki handlowej ponoszą:</w:t>
      </w:r>
    </w:p>
    <w:p w:rsidR="006E34BD" w:rsidRPr="006E34BD" w:rsidRDefault="00BF61EA" w:rsidP="006E34BD">
      <w:pPr>
        <w:pStyle w:val="Akapitzlist"/>
      </w:pPr>
      <w:r>
        <w:t xml:space="preserve">a. </w:t>
      </w:r>
      <w:r w:rsidR="006E34BD" w:rsidRPr="006E34BD">
        <w:t xml:space="preserve"> wspólnicy posiadający wiedzę o istnieniu przesłanek do ogłoszenia upadłości</w:t>
      </w:r>
    </w:p>
    <w:p w:rsidR="006E34BD" w:rsidRPr="006E34BD" w:rsidRDefault="006E34BD" w:rsidP="006E34BD">
      <w:pPr>
        <w:pStyle w:val="Akapitzlist"/>
      </w:pPr>
      <w:r w:rsidRPr="006E34BD">
        <w:t>b</w:t>
      </w:r>
      <w:r w:rsidR="00BF61EA">
        <w:t>.</w:t>
      </w:r>
      <w:r w:rsidRPr="006E34BD">
        <w:t xml:space="preserve"> członkowie zarządu i likwidatorzy zarządu spółki </w:t>
      </w:r>
    </w:p>
    <w:p w:rsidR="006E34BD" w:rsidRPr="006E34BD" w:rsidRDefault="006E34BD" w:rsidP="006E34BD">
      <w:pPr>
        <w:pStyle w:val="Akapitzlist"/>
      </w:pPr>
      <w:r w:rsidRPr="006E34BD">
        <w:t>c</w:t>
      </w:r>
      <w:r w:rsidR="00BF61EA">
        <w:t>.</w:t>
      </w:r>
      <w:r w:rsidRPr="006E34BD">
        <w:t xml:space="preserve"> wierzyciele</w:t>
      </w:r>
    </w:p>
    <w:p w:rsidR="006E34BD" w:rsidRPr="006E34BD" w:rsidRDefault="006E34BD" w:rsidP="006E34BD">
      <w:pPr>
        <w:pStyle w:val="Akapitzlist"/>
      </w:pPr>
    </w:p>
    <w:p w:rsidR="006E34BD" w:rsidRPr="006E34BD" w:rsidRDefault="006E34BD" w:rsidP="00A2228E">
      <w:pPr>
        <w:pStyle w:val="Akapitzlist"/>
        <w:numPr>
          <w:ilvl w:val="0"/>
          <w:numId w:val="7"/>
        </w:numPr>
        <w:rPr>
          <w:b/>
        </w:rPr>
      </w:pPr>
      <w:r w:rsidRPr="006E34BD">
        <w:rPr>
          <w:b/>
        </w:rPr>
        <w:t>Od kogo syndyk nie może żądać wydania majątku upadłego</w:t>
      </w:r>
      <w:r>
        <w:rPr>
          <w:b/>
        </w:rPr>
        <w:t>:</w:t>
      </w:r>
    </w:p>
    <w:p w:rsidR="006E34BD" w:rsidRPr="006E34BD" w:rsidRDefault="006E34BD" w:rsidP="00BF61EA">
      <w:pPr>
        <w:pStyle w:val="Akapitzlist"/>
        <w:numPr>
          <w:ilvl w:val="0"/>
          <w:numId w:val="10"/>
        </w:numPr>
      </w:pPr>
      <w:r w:rsidRPr="006E34BD">
        <w:t>Upadłego albo osoby uprawnionej do reprezentowania upadłego</w:t>
      </w:r>
    </w:p>
    <w:p w:rsidR="006E34BD" w:rsidRPr="006E34BD" w:rsidRDefault="006E34BD" w:rsidP="00A2228E">
      <w:pPr>
        <w:pStyle w:val="Akapitzlist"/>
        <w:numPr>
          <w:ilvl w:val="0"/>
          <w:numId w:val="10"/>
        </w:numPr>
      </w:pPr>
      <w:r w:rsidRPr="006E34BD">
        <w:t>Wspólnika upadłej spółki kapitałowej</w:t>
      </w:r>
    </w:p>
    <w:p w:rsidR="006E34BD" w:rsidRPr="006E34BD" w:rsidRDefault="006E34BD" w:rsidP="00A2228E">
      <w:pPr>
        <w:pStyle w:val="Akapitzlist"/>
        <w:numPr>
          <w:ilvl w:val="0"/>
          <w:numId w:val="10"/>
        </w:numPr>
      </w:pPr>
      <w:r w:rsidRPr="006E34BD">
        <w:t>Wspólnika upadłej spółki jawnej</w:t>
      </w:r>
    </w:p>
    <w:p w:rsidR="006E34BD" w:rsidRDefault="006E34BD" w:rsidP="006E34BD"/>
    <w:p w:rsidR="00BF61EA" w:rsidRPr="006E34BD" w:rsidRDefault="00BF61EA" w:rsidP="006E34BD"/>
    <w:p w:rsidR="006E34BD" w:rsidRPr="006E34BD" w:rsidRDefault="006E34BD" w:rsidP="00BF61EA">
      <w:pPr>
        <w:pStyle w:val="Akapitzlist"/>
        <w:numPr>
          <w:ilvl w:val="0"/>
          <w:numId w:val="7"/>
        </w:numPr>
        <w:ind w:left="426" w:hanging="284"/>
        <w:rPr>
          <w:b/>
        </w:rPr>
      </w:pPr>
      <w:r w:rsidRPr="006E34BD">
        <w:rPr>
          <w:b/>
        </w:rPr>
        <w:t>Przestępstwo z art. 301 par. 1,2,3 są:</w:t>
      </w:r>
    </w:p>
    <w:p w:rsidR="006E34BD" w:rsidRPr="006E34BD" w:rsidRDefault="006E34BD" w:rsidP="00BF61EA">
      <w:pPr>
        <w:pStyle w:val="Akapitzlist"/>
        <w:numPr>
          <w:ilvl w:val="0"/>
          <w:numId w:val="11"/>
        </w:numPr>
      </w:pPr>
      <w:r w:rsidRPr="006E34BD">
        <w:t>Indywidualne właściwe</w:t>
      </w:r>
    </w:p>
    <w:p w:rsidR="006E34BD" w:rsidRPr="006E34BD" w:rsidRDefault="006E34BD" w:rsidP="00A2228E">
      <w:pPr>
        <w:pStyle w:val="Akapitzlist"/>
        <w:numPr>
          <w:ilvl w:val="0"/>
          <w:numId w:val="11"/>
        </w:numPr>
      </w:pPr>
      <w:r w:rsidRPr="006E34BD">
        <w:t>Indywidualne niewłaściwe</w:t>
      </w:r>
    </w:p>
    <w:p w:rsidR="006E34BD" w:rsidRPr="006E34BD" w:rsidRDefault="006E34BD" w:rsidP="00A2228E">
      <w:pPr>
        <w:pStyle w:val="Akapitzlist"/>
        <w:numPr>
          <w:ilvl w:val="0"/>
          <w:numId w:val="11"/>
        </w:numPr>
      </w:pPr>
      <w:r w:rsidRPr="006E34BD">
        <w:t>Indywidualne co do czynu – może je popełnić każdy ale tylko w określonej sytuacji</w:t>
      </w:r>
    </w:p>
    <w:p w:rsidR="006E34BD" w:rsidRDefault="006E34BD" w:rsidP="00DC4EAA">
      <w:pPr>
        <w:rPr>
          <w:rFonts w:ascii="Calibri" w:hAnsi="Calibri" w:cs="Calibri"/>
          <w:b/>
          <w:color w:val="ED7D31" w:themeColor="accent2"/>
          <w:sz w:val="26"/>
          <w:szCs w:val="26"/>
        </w:rPr>
      </w:pPr>
    </w:p>
    <w:p w:rsidR="00E91677" w:rsidRDefault="00E91677" w:rsidP="00DC4EAA">
      <w:pPr>
        <w:rPr>
          <w:rFonts w:ascii="Calibri" w:hAnsi="Calibri" w:cs="Calibri"/>
          <w:b/>
          <w:color w:val="ED7D31" w:themeColor="accent2"/>
          <w:sz w:val="26"/>
          <w:szCs w:val="26"/>
        </w:rPr>
      </w:pPr>
      <w:r w:rsidRPr="00B4799D">
        <w:rPr>
          <w:rFonts w:ascii="Calibri" w:hAnsi="Calibri" w:cs="Calibri"/>
          <w:b/>
          <w:color w:val="ED7D31" w:themeColor="accent2"/>
          <w:sz w:val="26"/>
          <w:szCs w:val="26"/>
        </w:rPr>
        <w:t>Moduł XVIII. Dziecko jako świadek i poszkodowany</w:t>
      </w:r>
    </w:p>
    <w:p w:rsidR="00C13B70" w:rsidRDefault="00C13B70" w:rsidP="006E34BD"/>
    <w:p w:rsidR="00C13B70" w:rsidRPr="00C13B70" w:rsidRDefault="00C13B70" w:rsidP="00C13B70">
      <w:pPr>
        <w:pStyle w:val="Akapitzlist"/>
        <w:ind w:left="0"/>
        <w:rPr>
          <w:b/>
        </w:rPr>
      </w:pPr>
      <w:r>
        <w:t xml:space="preserve">  </w:t>
      </w:r>
      <w:r w:rsidRPr="00C13B70">
        <w:rPr>
          <w:b/>
        </w:rPr>
        <w:t>1. Czym powinien kierować się przesłuchujący dziecko?</w:t>
      </w:r>
    </w:p>
    <w:p w:rsidR="00C13B70" w:rsidRDefault="00C13B70" w:rsidP="00C13B70">
      <w:pPr>
        <w:ind w:firstLine="142"/>
      </w:pPr>
      <w:r>
        <w:t xml:space="preserve">    a. swoją wiedzą i doświadczeniem, używając ustrukturalizowanego wywiadu klinicznego</w:t>
      </w:r>
    </w:p>
    <w:p w:rsidR="00C13B70" w:rsidRDefault="00C13B70" w:rsidP="00C13B70">
      <w:pPr>
        <w:pStyle w:val="Akapitzlist"/>
        <w:ind w:hanging="578"/>
      </w:pPr>
      <w:r>
        <w:t xml:space="preserve">    b. być spontaniczny w zadawaniu pytań, nie musi mieć doświadczenia, wystarczy że lubi dzieci</w:t>
      </w:r>
    </w:p>
    <w:p w:rsidR="00C13B70" w:rsidRDefault="00C13B70" w:rsidP="00C13B70">
      <w:pPr>
        <w:pStyle w:val="Akapitzlist"/>
        <w:ind w:left="284" w:hanging="142"/>
      </w:pPr>
      <w:r>
        <w:t xml:space="preserve">    c. swoją wiedzą, doświadczeniem, znajomością psychologicznych podstaw rozwoju dziecka i stosowaniem protokołu przesłuchiwania dziecka opartego na naukowych dowodach</w:t>
      </w:r>
    </w:p>
    <w:p w:rsidR="00C13B70" w:rsidRDefault="00C13B70" w:rsidP="00C13B70">
      <w:pPr>
        <w:pStyle w:val="Akapitzlist"/>
        <w:ind w:left="0"/>
      </w:pPr>
    </w:p>
    <w:p w:rsidR="00C13B70" w:rsidRPr="00C13B70" w:rsidRDefault="00C13B70" w:rsidP="00C13B70">
      <w:pPr>
        <w:pStyle w:val="Akapitzlist"/>
        <w:ind w:left="284" w:hanging="284"/>
        <w:rPr>
          <w:b/>
        </w:rPr>
      </w:pPr>
      <w:r w:rsidRPr="00C13B70">
        <w:rPr>
          <w:b/>
        </w:rPr>
        <w:t xml:space="preserve">  2. Które z poniższych pytań jest nieprawidłowe pod wzgl</w:t>
      </w:r>
      <w:r>
        <w:rPr>
          <w:b/>
        </w:rPr>
        <w:t>ę</w:t>
      </w:r>
      <w:r w:rsidRPr="00C13B70">
        <w:rPr>
          <w:b/>
        </w:rPr>
        <w:t xml:space="preserve">dem budowy podczas przesłuchiwania </w:t>
      </w:r>
      <w:r>
        <w:rPr>
          <w:b/>
        </w:rPr>
        <w:t xml:space="preserve">     </w:t>
      </w:r>
      <w:r w:rsidRPr="00C13B70">
        <w:rPr>
          <w:b/>
        </w:rPr>
        <w:t>dziecka?</w:t>
      </w:r>
    </w:p>
    <w:p w:rsidR="00C13B70" w:rsidRDefault="00C13B70" w:rsidP="00C13B70">
      <w:pPr>
        <w:pStyle w:val="Akapitzlist"/>
        <w:ind w:left="495" w:hanging="495"/>
      </w:pPr>
      <w:r>
        <w:t xml:space="preserve">     a. „Skrzywdził cię, prawda?”</w:t>
      </w:r>
    </w:p>
    <w:p w:rsidR="00C13B70" w:rsidRDefault="00C13B70" w:rsidP="00C13B70">
      <w:pPr>
        <w:pStyle w:val="Akapitzlist"/>
        <w:ind w:left="495" w:hanging="353"/>
      </w:pPr>
      <w:r>
        <w:t xml:space="preserve">   b. „Kto był twoją wychowawczynią, gdy X cię dotykał po piersiach?”</w:t>
      </w:r>
    </w:p>
    <w:p w:rsidR="00C13B70" w:rsidRDefault="00C13B70" w:rsidP="00C13B70">
      <w:pPr>
        <w:pStyle w:val="Akapitzlist"/>
        <w:ind w:left="426" w:hanging="284"/>
      </w:pPr>
      <w:r>
        <w:t xml:space="preserve">   c. „Czy możesz mi opowiedzieć o tym coś więcej?”</w:t>
      </w:r>
    </w:p>
    <w:p w:rsidR="00C13B70" w:rsidRPr="00C13B70" w:rsidRDefault="00C13B70" w:rsidP="00C13B70">
      <w:pPr>
        <w:pStyle w:val="Akapitzlist"/>
        <w:ind w:left="495"/>
        <w:rPr>
          <w:b/>
        </w:rPr>
      </w:pPr>
    </w:p>
    <w:p w:rsidR="00C13B70" w:rsidRPr="00C13B70" w:rsidRDefault="00C13B70" w:rsidP="00C13B70">
      <w:pPr>
        <w:pStyle w:val="Akapitzlist"/>
        <w:tabs>
          <w:tab w:val="left" w:pos="284"/>
        </w:tabs>
        <w:ind w:left="0"/>
        <w:rPr>
          <w:b/>
        </w:rPr>
      </w:pPr>
      <w:r w:rsidRPr="00C13B70">
        <w:rPr>
          <w:b/>
        </w:rPr>
        <w:t xml:space="preserve">  3. Która z poniższych reakcji dziecka podczas przeprowadzania przesłuchania na okoliczność </w:t>
      </w:r>
      <w:r>
        <w:tab/>
      </w:r>
      <w:r w:rsidRPr="00C13B70">
        <w:rPr>
          <w:b/>
        </w:rPr>
        <w:t>wykorzystywania seksualnego definitywnie wyklucza możliwość zaistnienia takiego zdarzenia?</w:t>
      </w:r>
    </w:p>
    <w:p w:rsidR="00C13B70" w:rsidRDefault="00C13B70" w:rsidP="00C13B70">
      <w:pPr>
        <w:pStyle w:val="Akapitzlist"/>
        <w:ind w:left="495" w:hanging="211"/>
      </w:pPr>
      <w:r>
        <w:t xml:space="preserve"> a. dziecko śmieje się podczas opowiadania o akcie seksualnym</w:t>
      </w:r>
    </w:p>
    <w:p w:rsidR="00C13B70" w:rsidRDefault="00C13B70" w:rsidP="00C13B70">
      <w:pPr>
        <w:pStyle w:val="Akapitzlist"/>
        <w:ind w:left="495" w:hanging="211"/>
      </w:pPr>
      <w:r>
        <w:t xml:space="preserve"> b. dziecko zdecydowanie zaprzecza wykorzystywaniu lub przemocy seksualnej</w:t>
      </w:r>
    </w:p>
    <w:p w:rsidR="00C13B70" w:rsidRDefault="00C13B70" w:rsidP="00C13B70">
      <w:pPr>
        <w:pStyle w:val="Akapitzlist"/>
        <w:ind w:left="495" w:hanging="211"/>
      </w:pPr>
      <w:r>
        <w:t xml:space="preserve"> c. żadna z powyższych</w:t>
      </w:r>
    </w:p>
    <w:p w:rsidR="00C13B70" w:rsidRDefault="00C13B70" w:rsidP="00C13B70">
      <w:pPr>
        <w:pStyle w:val="Akapitzlist"/>
        <w:ind w:left="495"/>
      </w:pPr>
    </w:p>
    <w:p w:rsidR="00C13B70" w:rsidRPr="00C13B70" w:rsidRDefault="00C13B70" w:rsidP="00C13B70">
      <w:pPr>
        <w:pStyle w:val="Akapitzlist"/>
        <w:ind w:left="284" w:hanging="142"/>
        <w:rPr>
          <w:b/>
        </w:rPr>
      </w:pPr>
      <w:r w:rsidRPr="00C13B70">
        <w:rPr>
          <w:b/>
        </w:rPr>
        <w:t>4. Czy istnieją potwierdzone naukowo dowody, aby dzieci kłamały częściej niż dorośli?</w:t>
      </w:r>
    </w:p>
    <w:p w:rsidR="00C13B70" w:rsidRDefault="00C13B70" w:rsidP="00C13B70">
      <w:pPr>
        <w:pStyle w:val="Akapitzlist"/>
        <w:ind w:left="426"/>
      </w:pPr>
      <w:r>
        <w:t>a. tak, istnieją badania naukowe potwierdzające, że dzieci mają tendencję do częstszego kłamania niż dorośli</w:t>
      </w:r>
    </w:p>
    <w:p w:rsidR="00C13B70" w:rsidRDefault="00C13B70" w:rsidP="00C13B70">
      <w:pPr>
        <w:pStyle w:val="Akapitzlist"/>
        <w:ind w:left="426"/>
      </w:pPr>
      <w:r>
        <w:t>b. nie, nie istnieją potwierdzone naukowo dowody, aby dzieci kłamały częściej niż dorośli</w:t>
      </w:r>
    </w:p>
    <w:p w:rsidR="00C13B70" w:rsidRDefault="00C13B70" w:rsidP="00C13B70">
      <w:pPr>
        <w:pStyle w:val="Akapitzlist"/>
        <w:ind w:hanging="294"/>
      </w:pPr>
      <w:r>
        <w:t>c. istnieją dowody naukowe, iż dzieci między 3-4 r.ż. kłamią częściej niż dorośli</w:t>
      </w:r>
    </w:p>
    <w:p w:rsidR="00C13B70" w:rsidRDefault="00C13B70" w:rsidP="00C13B70">
      <w:pPr>
        <w:pStyle w:val="Akapitzlist"/>
        <w:ind w:left="495"/>
      </w:pPr>
    </w:p>
    <w:p w:rsidR="00C13B70" w:rsidRPr="00C13B70" w:rsidRDefault="00C13B70" w:rsidP="00C13B70">
      <w:pPr>
        <w:rPr>
          <w:b/>
        </w:rPr>
      </w:pPr>
      <w:r w:rsidRPr="00C13B70">
        <w:rPr>
          <w:b/>
        </w:rPr>
        <w:t>5. Co ocenia biegły psycholog w opinii sądowo-psychologicznej?</w:t>
      </w:r>
    </w:p>
    <w:p w:rsidR="00C13B70" w:rsidRDefault="00C13B70" w:rsidP="00C13B70">
      <w:pPr>
        <w:pStyle w:val="Akapitzlist"/>
        <w:ind w:hanging="436"/>
      </w:pPr>
      <w:r>
        <w:t>a. fakty i wiarygodność świadka</w:t>
      </w:r>
    </w:p>
    <w:p w:rsidR="00C13B70" w:rsidRDefault="00C13B70" w:rsidP="00C13B70">
      <w:pPr>
        <w:pStyle w:val="Akapitzlist"/>
        <w:ind w:left="567" w:hanging="283"/>
      </w:pPr>
      <w:r>
        <w:t>b. poziom zdolności do zapamiętywania, przechowywania i odtwarzania wspomnień świadka oraz występowanie choroby psychicznej u świadka</w:t>
      </w:r>
    </w:p>
    <w:p w:rsidR="00C13B70" w:rsidRDefault="00C13B70" w:rsidP="00C13B70">
      <w:pPr>
        <w:pStyle w:val="Akapitzlist"/>
        <w:ind w:hanging="436"/>
      </w:pPr>
      <w:r>
        <w:t>c. żadna z powyższych odpowiedzi nie jest prawidłowa</w:t>
      </w:r>
    </w:p>
    <w:p w:rsidR="00C13B70" w:rsidRDefault="00C13B70" w:rsidP="006E34BD"/>
    <w:p w:rsidR="00C13B70" w:rsidRPr="00C13B70" w:rsidRDefault="00C13B70" w:rsidP="006E34BD">
      <w:pPr>
        <w:pStyle w:val="Akapitzlist"/>
        <w:ind w:left="142" w:hanging="142"/>
        <w:rPr>
          <w:b/>
        </w:rPr>
      </w:pPr>
      <w:r w:rsidRPr="00C13B70">
        <w:rPr>
          <w:b/>
        </w:rPr>
        <w:t>6. Jaki wiek dziecka wyklucza jego uczestnictwo w składaniu zeznań jako świadek lub poszkodowany?</w:t>
      </w:r>
    </w:p>
    <w:p w:rsidR="00C13B70" w:rsidRDefault="00C13B70" w:rsidP="006E34BD">
      <w:pPr>
        <w:ind w:firstLine="284"/>
      </w:pPr>
      <w:r>
        <w:t>a. 0-1 r.ż.</w:t>
      </w:r>
    </w:p>
    <w:p w:rsidR="00C13B70" w:rsidRDefault="00C13B70" w:rsidP="006E34BD">
      <w:pPr>
        <w:pStyle w:val="Akapitzlist"/>
        <w:ind w:hanging="436"/>
      </w:pPr>
      <w:r>
        <w:t>b. 2-4 r.ż.</w:t>
      </w:r>
    </w:p>
    <w:p w:rsidR="00C13B70" w:rsidRDefault="00C13B70" w:rsidP="006E34BD">
      <w:pPr>
        <w:pStyle w:val="Akapitzlist"/>
        <w:ind w:hanging="436"/>
      </w:pPr>
      <w:r>
        <w:t>c. 12-18 r.ż.</w:t>
      </w:r>
    </w:p>
    <w:p w:rsidR="00C13B70" w:rsidRDefault="00C13B70" w:rsidP="00C13B70">
      <w:pPr>
        <w:pStyle w:val="Akapitzlist"/>
        <w:ind w:left="495"/>
      </w:pPr>
    </w:p>
    <w:p w:rsidR="00BF61EA" w:rsidRDefault="00BF61EA" w:rsidP="00C13B70">
      <w:pPr>
        <w:pStyle w:val="Akapitzlist"/>
        <w:ind w:left="495"/>
      </w:pPr>
    </w:p>
    <w:p w:rsidR="00C13B70" w:rsidRPr="00C13B70" w:rsidRDefault="00C13B70" w:rsidP="006E34BD">
      <w:pPr>
        <w:pStyle w:val="Akapitzlist"/>
        <w:ind w:left="495" w:hanging="495"/>
        <w:rPr>
          <w:b/>
        </w:rPr>
      </w:pPr>
      <w:r w:rsidRPr="00C13B70">
        <w:rPr>
          <w:b/>
        </w:rPr>
        <w:lastRenderedPageBreak/>
        <w:t>7. Kto najczęściej jest sprawcą przemocy i wykorzystywania seksualnego wobec dzieci?</w:t>
      </w:r>
    </w:p>
    <w:p w:rsidR="00C13B70" w:rsidRDefault="00C13B70" w:rsidP="006E34BD">
      <w:pPr>
        <w:pStyle w:val="Akapitzlist"/>
        <w:ind w:left="851" w:hanging="567"/>
      </w:pPr>
      <w:r>
        <w:t>a. rodzice, rodzeństwo, dziadkowie</w:t>
      </w:r>
    </w:p>
    <w:p w:rsidR="00C13B70" w:rsidRDefault="00C13B70" w:rsidP="006E34BD">
      <w:pPr>
        <w:pStyle w:val="Akapitzlist"/>
        <w:ind w:left="495" w:hanging="211"/>
      </w:pPr>
      <w:r>
        <w:t>b. osoba bliska rodziny, ale nie mieszkająca z nią pod jednym dachem</w:t>
      </w:r>
    </w:p>
    <w:p w:rsidR="00C13B70" w:rsidRDefault="00C13B70" w:rsidP="006E34BD">
      <w:pPr>
        <w:pStyle w:val="Akapitzlist"/>
        <w:ind w:left="495" w:hanging="211"/>
      </w:pPr>
      <w:r>
        <w:t>c. obie powyższe odpowiedzi są prawdziwe</w:t>
      </w:r>
    </w:p>
    <w:p w:rsidR="00C13B70" w:rsidRDefault="00C13B70" w:rsidP="00C13B70"/>
    <w:p w:rsidR="00C13B70" w:rsidRPr="006E34BD" w:rsidRDefault="00C13B70" w:rsidP="006E34BD">
      <w:pPr>
        <w:rPr>
          <w:b/>
        </w:rPr>
      </w:pPr>
      <w:r w:rsidRPr="006E34BD">
        <w:rPr>
          <w:b/>
        </w:rPr>
        <w:t>8. O czym może świadczyć, iż dziecko rysuje na rysunkach postać ludzką z genitaliami?</w:t>
      </w:r>
    </w:p>
    <w:p w:rsidR="00C13B70" w:rsidRDefault="00C13B70" w:rsidP="006E34BD">
      <w:pPr>
        <w:pStyle w:val="Akapitzlist"/>
        <w:ind w:left="709" w:hanging="425"/>
      </w:pPr>
      <w:r>
        <w:t>a. mogło być wykorzystywane seksualnie lub mogło mieć dostęp do pornografii</w:t>
      </w:r>
    </w:p>
    <w:p w:rsidR="00C13B70" w:rsidRDefault="00C13B70" w:rsidP="006E34BD">
      <w:pPr>
        <w:pStyle w:val="Akapitzlist"/>
        <w:ind w:left="495" w:hanging="211"/>
      </w:pPr>
      <w:r>
        <w:t>b. doświadczało zabiegów medycznych w obrębie cewki moczowej</w:t>
      </w:r>
    </w:p>
    <w:p w:rsidR="00C13B70" w:rsidRDefault="00C13B70" w:rsidP="006E34BD">
      <w:pPr>
        <w:pStyle w:val="Akapitzlist"/>
        <w:ind w:left="495" w:hanging="211"/>
      </w:pPr>
      <w:r>
        <w:t>c. obydwie powyższe odpowiedzi są prawidłowe</w:t>
      </w:r>
    </w:p>
    <w:p w:rsidR="00C13B70" w:rsidRDefault="00C13B70" w:rsidP="00C13B70">
      <w:pPr>
        <w:pStyle w:val="Akapitzlist"/>
        <w:ind w:left="495"/>
      </w:pPr>
    </w:p>
    <w:p w:rsidR="00C13B70" w:rsidRPr="00C13B70" w:rsidRDefault="00C13B70" w:rsidP="006E34BD">
      <w:pPr>
        <w:rPr>
          <w:b/>
        </w:rPr>
      </w:pPr>
      <w:r w:rsidRPr="00C13B70">
        <w:rPr>
          <w:b/>
        </w:rPr>
        <w:t>9. Konfabulacja dziecięca to:</w:t>
      </w:r>
    </w:p>
    <w:p w:rsidR="00C13B70" w:rsidRDefault="00C13B70" w:rsidP="006E34BD">
      <w:pPr>
        <w:pStyle w:val="Akapitzlist"/>
        <w:ind w:hanging="436"/>
      </w:pPr>
      <w:r>
        <w:t>a. zapełnianie luk pamięciowych poprzez wypełnianie ich nieistniejącymi wydarzeniami</w:t>
      </w:r>
    </w:p>
    <w:p w:rsidR="00C13B70" w:rsidRDefault="00C13B70" w:rsidP="006E34BD">
      <w:pPr>
        <w:pStyle w:val="Akapitzlist"/>
        <w:ind w:hanging="436"/>
      </w:pPr>
      <w:r>
        <w:t>b. przypisywanie zwierzętom cech ludzkich</w:t>
      </w:r>
    </w:p>
    <w:p w:rsidR="00C13B70" w:rsidRDefault="006E34BD" w:rsidP="006E34BD">
      <w:pPr>
        <w:pStyle w:val="Akapitzlist"/>
        <w:ind w:hanging="578"/>
      </w:pPr>
      <w:r>
        <w:t xml:space="preserve">   </w:t>
      </w:r>
      <w:r w:rsidR="00C13B70">
        <w:t>c. obie powyższe odpowiedzi są prawidłowe</w:t>
      </w:r>
    </w:p>
    <w:p w:rsidR="00C13B70" w:rsidRDefault="00C13B70" w:rsidP="00C13B70">
      <w:pPr>
        <w:pStyle w:val="Akapitzlist"/>
        <w:ind w:left="495"/>
      </w:pPr>
    </w:p>
    <w:p w:rsidR="00C13B70" w:rsidRPr="006E34BD" w:rsidRDefault="00C13B70" w:rsidP="006E34BD">
      <w:pPr>
        <w:rPr>
          <w:b/>
        </w:rPr>
      </w:pPr>
      <w:r w:rsidRPr="006E34BD">
        <w:rPr>
          <w:b/>
        </w:rPr>
        <w:t>10. O czym może świadczyć masturbowanie się dziecka w przedszkolu?</w:t>
      </w:r>
    </w:p>
    <w:p w:rsidR="00C13B70" w:rsidRDefault="00C13B70" w:rsidP="006E34BD">
      <w:pPr>
        <w:pStyle w:val="Akapitzlist"/>
        <w:ind w:left="495" w:hanging="211"/>
      </w:pPr>
      <w:r>
        <w:t>a. o wykorzystywaniu seksualnym</w:t>
      </w:r>
    </w:p>
    <w:p w:rsidR="00C13B70" w:rsidRDefault="00C13B70" w:rsidP="006E34BD">
      <w:pPr>
        <w:pStyle w:val="Akapitzlist"/>
        <w:ind w:left="495" w:hanging="211"/>
      </w:pPr>
      <w:r>
        <w:t>b. o przeżywaniu napięcia związanego z rozwodem rodziców</w:t>
      </w:r>
    </w:p>
    <w:p w:rsidR="00C13B70" w:rsidRDefault="00C13B70" w:rsidP="006E34BD">
      <w:pPr>
        <w:pStyle w:val="Akapitzlist"/>
        <w:ind w:left="495" w:hanging="211"/>
      </w:pPr>
      <w:r>
        <w:t>c. obie powyższe odpowiedzi są prawidłowe</w:t>
      </w:r>
    </w:p>
    <w:p w:rsidR="00C13B70" w:rsidRPr="00B4799D" w:rsidRDefault="00C13B70" w:rsidP="00DC4EAA">
      <w:pPr>
        <w:rPr>
          <w:rFonts w:ascii="Calibri" w:hAnsi="Calibri" w:cs="Calibri"/>
          <w:b/>
          <w:color w:val="ED7D31" w:themeColor="accent2"/>
          <w:sz w:val="26"/>
          <w:szCs w:val="26"/>
        </w:rPr>
      </w:pPr>
    </w:p>
    <w:sectPr w:rsidR="00C13B70" w:rsidRPr="00B4799D" w:rsidSect="004456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0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770" w:rsidRDefault="00C84770" w:rsidP="00F5767E">
      <w:r>
        <w:separator/>
      </w:r>
    </w:p>
  </w:endnote>
  <w:endnote w:type="continuationSeparator" w:id="0">
    <w:p w:rsidR="00C84770" w:rsidRDefault="00C84770" w:rsidP="00F5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99D" w:rsidRDefault="00C84770" w:rsidP="00B4799D">
    <w:pPr>
      <w:pStyle w:val="Stopka"/>
      <w:jc w:val="center"/>
    </w:pPr>
    <w:sdt>
      <w:sdtPr>
        <w:id w:val="1292014693"/>
        <w:docPartObj>
          <w:docPartGallery w:val="Page Numbers (Bottom of Page)"/>
          <w:docPartUnique/>
        </w:docPartObj>
      </w:sdtPr>
      <w:sdtEndPr/>
      <w:sdtContent/>
    </w:sdt>
    <w:r w:rsidR="00B4799D" w:rsidRPr="00CC1552">
      <w:rPr>
        <w:noProof/>
      </w:rPr>
      <w:drawing>
        <wp:inline distT="0" distB="0" distL="0" distR="0" wp14:anchorId="12CED512" wp14:editId="23D0BF86">
          <wp:extent cx="6642100" cy="952439"/>
          <wp:effectExtent l="0" t="0" r="0" b="635"/>
          <wp:docPr id="3" name="Obraz 2" descr="http://wuplodz.praca.gov.pl/documents/1135278/1193512/ci%C4%85g%20PO%20WER%20i%20UE%20bia%C5%82o-czarny/a396d5d7-ab11-449d-b02b-f2a10551fa13?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278/1193512/ci%C4%85g%20PO%20WER%20i%20UE%20bia%C5%82o-czarny/a396d5d7-ab11-449d-b02b-f2a10551fa13?t=1422446663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91" cy="961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6A57" w:rsidRDefault="00076A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A57" w:rsidRPr="00BD6CBD" w:rsidRDefault="00076A57">
    <w:pPr>
      <w:pStyle w:val="Stopka"/>
      <w:rPr>
        <w:rFonts w:ascii="Calibri" w:hAnsi="Calibri" w:cs="Calibri"/>
      </w:rPr>
    </w:pPr>
    <w:r w:rsidRPr="00BD6CBD">
      <w:rPr>
        <w:rFonts w:ascii="Calibri" w:hAnsi="Calibri" w:cs="Calibri"/>
      </w:rPr>
      <w:tab/>
    </w:r>
  </w:p>
  <w:p w:rsidR="00076A57" w:rsidRDefault="00076A57">
    <w:pPr>
      <w:pStyle w:val="Stopka"/>
    </w:pPr>
    <w:r w:rsidRPr="00CC1552">
      <w:rPr>
        <w:noProof/>
      </w:rPr>
      <w:drawing>
        <wp:inline distT="0" distB="0" distL="0" distR="0">
          <wp:extent cx="6642100" cy="952439"/>
          <wp:effectExtent l="0" t="0" r="0" b="635"/>
          <wp:docPr id="8" name="Obraz 2" descr="http://wuplodz.praca.gov.pl/documents/1135278/1193512/ci%C4%85g%20PO%20WER%20i%20UE%20bia%C5%82o-czarny/a396d5d7-ab11-449d-b02b-f2a10551fa13?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278/1193512/ci%C4%85g%20PO%20WER%20i%20UE%20bia%C5%82o-czarny/a396d5d7-ab11-449d-b02b-f2a10551fa13?t=1422446663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91" cy="961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770" w:rsidRDefault="00C84770" w:rsidP="00F5767E">
      <w:r>
        <w:separator/>
      </w:r>
    </w:p>
  </w:footnote>
  <w:footnote w:type="continuationSeparator" w:id="0">
    <w:p w:rsidR="00C84770" w:rsidRDefault="00C84770" w:rsidP="00F57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A57" w:rsidRDefault="00C84770" w:rsidP="004C2D54">
    <w:pPr>
      <w:pStyle w:val="Nagwek"/>
      <w:jc w:val="center"/>
    </w:pPr>
    <w:sdt>
      <w:sdtPr>
        <w:id w:val="22638915"/>
        <w:docPartObj>
          <w:docPartGallery w:val="Page Numbers (Margins)"/>
          <w:docPartUnique/>
        </w:docPartObj>
      </w:sdtPr>
      <w:sdtEndPr/>
      <w:sdtContent>
        <w:r w:rsidR="00076A57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461645" cy="2183130"/>
                  <wp:effectExtent l="0" t="0" r="4445" b="0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164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6A57" w:rsidRPr="005828A0" w:rsidRDefault="00076A57">
                              <w:pPr>
                                <w:pStyle w:val="Stopka"/>
                                <w:rPr>
                                  <w:rFonts w:ascii="Calibri Light" w:hAnsi="Calibri Light"/>
                                  <w:sz w:val="36"/>
                                  <w:szCs w:val="44"/>
                                </w:rPr>
                              </w:pPr>
                              <w:r w:rsidRPr="005828A0">
                                <w:rPr>
                                  <w:rFonts w:ascii="Calibri Light" w:hAnsi="Calibri Light"/>
                                </w:rPr>
                                <w:t>S</w:t>
                              </w:r>
                              <w:r w:rsidRPr="005828A0">
                                <w:rPr>
                                  <w:rFonts w:ascii="Calibri Light" w:hAnsi="Calibri Light"/>
                                  <w:sz w:val="20"/>
                                </w:rPr>
                                <w:t xml:space="preserve">trona </w:t>
                              </w:r>
                              <w:r w:rsidRPr="005828A0">
                                <w:rPr>
                                  <w:sz w:val="20"/>
                                </w:rPr>
                                <w:fldChar w:fldCharType="begin"/>
                              </w:r>
                              <w:r w:rsidRPr="003774AD">
                                <w:rPr>
                                  <w:sz w:val="20"/>
                                </w:rPr>
                                <w:instrText xml:space="preserve"> PAGE    \* MERGEFORMAT </w:instrText>
                              </w:r>
                              <w:r w:rsidRPr="005828A0">
                                <w:rPr>
                                  <w:sz w:val="20"/>
                                </w:rPr>
                                <w:fldChar w:fldCharType="separate"/>
                              </w:r>
                              <w:r w:rsidR="00B00B73" w:rsidRPr="00B00B73">
                                <w:rPr>
                                  <w:rFonts w:ascii="Calibri Light" w:hAnsi="Calibri Light"/>
                                  <w:noProof/>
                                  <w:sz w:val="36"/>
                                  <w:szCs w:val="44"/>
                                </w:rPr>
                                <w:t>4</w:t>
                              </w:r>
                              <w:r w:rsidRPr="005828A0">
                                <w:rPr>
                                  <w:rFonts w:ascii="Calibri Light" w:hAnsi="Calibri Light"/>
                                  <w:noProof/>
                                  <w:sz w:val="36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left:0;text-align:left;margin-left:0;margin-top:0;width:36.3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076A57" w:rsidRPr="005828A0" w:rsidRDefault="00076A57">
                        <w:pPr>
                          <w:pStyle w:val="Stopka"/>
                          <w:rPr>
                            <w:rFonts w:ascii="Calibri Light" w:hAnsi="Calibri Light"/>
                            <w:sz w:val="36"/>
                            <w:szCs w:val="44"/>
                          </w:rPr>
                        </w:pPr>
                        <w:r w:rsidRPr="005828A0">
                          <w:rPr>
                            <w:rFonts w:ascii="Calibri Light" w:hAnsi="Calibri Light"/>
                          </w:rPr>
                          <w:t>S</w:t>
                        </w:r>
                        <w:r w:rsidRPr="005828A0">
                          <w:rPr>
                            <w:rFonts w:ascii="Calibri Light" w:hAnsi="Calibri Light"/>
                            <w:sz w:val="20"/>
                          </w:rPr>
                          <w:t xml:space="preserve">trona </w:t>
                        </w:r>
                        <w:r w:rsidRPr="005828A0">
                          <w:rPr>
                            <w:sz w:val="20"/>
                          </w:rPr>
                          <w:fldChar w:fldCharType="begin"/>
                        </w:r>
                        <w:r w:rsidRPr="003774AD">
                          <w:rPr>
                            <w:sz w:val="20"/>
                          </w:rPr>
                          <w:instrText xml:space="preserve"> PAGE    \* MERGEFORMAT </w:instrText>
                        </w:r>
                        <w:r w:rsidRPr="005828A0">
                          <w:rPr>
                            <w:sz w:val="20"/>
                          </w:rPr>
                          <w:fldChar w:fldCharType="separate"/>
                        </w:r>
                        <w:r w:rsidR="00B00B73" w:rsidRPr="00B00B73">
                          <w:rPr>
                            <w:rFonts w:ascii="Calibri Light" w:hAnsi="Calibri Light"/>
                            <w:noProof/>
                            <w:sz w:val="36"/>
                            <w:szCs w:val="44"/>
                          </w:rPr>
                          <w:t>4</w:t>
                        </w:r>
                        <w:r w:rsidRPr="005828A0">
                          <w:rPr>
                            <w:rFonts w:ascii="Calibri Light" w:hAnsi="Calibri Light"/>
                            <w:noProof/>
                            <w:sz w:val="36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76A57" w:rsidRPr="004C2D54">
      <w:rPr>
        <w:noProof/>
      </w:rPr>
      <w:drawing>
        <wp:inline distT="0" distB="0" distL="0" distR="0">
          <wp:extent cx="2343150" cy="600075"/>
          <wp:effectExtent l="0" t="0" r="0" b="9525"/>
          <wp:docPr id="4" name="Obraz 4" descr="C:\Users\zawadzka\Desktop\Zaplanuj Karierę z vizją\logo_WSFiZ_300dpi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wadzka\Desktop\Zaplanuj Karierę z vizją\logo_WSFiZ_300dpi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6A57" w:rsidRDefault="00076A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A57" w:rsidRDefault="00C84770">
    <w:pPr>
      <w:pStyle w:val="Nagwek"/>
    </w:pPr>
    <w:sdt>
      <w:sdtPr>
        <w:id w:val="-344402200"/>
        <w:docPartObj>
          <w:docPartGallery w:val="Page Numbers (Margins)"/>
          <w:docPartUnique/>
        </w:docPartObj>
      </w:sdtPr>
      <w:sdtEndPr/>
      <w:sdtContent>
        <w:r w:rsidR="00076A57" w:rsidRPr="00674E45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6A57" w:rsidRPr="005828A0" w:rsidRDefault="00076A57">
                              <w:pPr>
                                <w:pStyle w:val="Stopka"/>
                                <w:rPr>
                                  <w:rFonts w:ascii="Calibri Light" w:hAnsi="Calibri Light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7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aUVvAIAAL0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" o:allowincell="f" filled="f" stroked="f">
                  <v:textbox style="layout-flow:vertical;mso-layout-flow-alt:bottom-to-top;mso-fit-shape-to-text:t">
                    <w:txbxContent>
                      <w:p w:rsidR="00076A57" w:rsidRPr="005828A0" w:rsidRDefault="00076A57">
                        <w:pPr>
                          <w:pStyle w:val="Stopka"/>
                          <w:rPr>
                            <w:rFonts w:ascii="Calibri Light" w:hAnsi="Calibri Light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76A57">
      <w:ptab w:relativeTo="margin" w:alignment="center" w:leader="none"/>
    </w:r>
    <w:r w:rsidR="00076A57" w:rsidRPr="00CC1552">
      <w:rPr>
        <w:noProof/>
      </w:rPr>
      <w:drawing>
        <wp:inline distT="0" distB="0" distL="0" distR="0">
          <wp:extent cx="2876550" cy="736677"/>
          <wp:effectExtent l="19050" t="0" r="0" b="0"/>
          <wp:docPr id="7" name="Obraz 1" descr="C:\Users\zawadzka\Desktop\Zaplanuj Karierę z vizją\logo_WSFiZ_300dpi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wadzka\Desktop\Zaplanuj Karierę z vizją\logo_WSFiZ_300dpi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150" cy="737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6A57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6E2E"/>
    <w:multiLevelType w:val="hybridMultilevel"/>
    <w:tmpl w:val="732A8172"/>
    <w:lvl w:ilvl="0" w:tplc="79FA0FD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45F95"/>
    <w:multiLevelType w:val="hybridMultilevel"/>
    <w:tmpl w:val="E2A2F04C"/>
    <w:lvl w:ilvl="0" w:tplc="2F5EB32A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15373"/>
    <w:multiLevelType w:val="hybridMultilevel"/>
    <w:tmpl w:val="28EAF968"/>
    <w:lvl w:ilvl="0" w:tplc="8DA456D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C81B8E"/>
    <w:multiLevelType w:val="hybridMultilevel"/>
    <w:tmpl w:val="9A88C0C0"/>
    <w:lvl w:ilvl="0" w:tplc="1C8A30D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856538B"/>
    <w:multiLevelType w:val="hybridMultilevel"/>
    <w:tmpl w:val="9BD81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66ED0"/>
    <w:multiLevelType w:val="hybridMultilevel"/>
    <w:tmpl w:val="6DD61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7615F"/>
    <w:multiLevelType w:val="hybridMultilevel"/>
    <w:tmpl w:val="9246F530"/>
    <w:lvl w:ilvl="0" w:tplc="B8507A9A">
      <w:start w:val="1"/>
      <w:numFmt w:val="lowerLetter"/>
      <w:lvlText w:val="%1."/>
      <w:lvlJc w:val="left"/>
      <w:pPr>
        <w:ind w:left="1284" w:hanging="564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8750D9"/>
    <w:multiLevelType w:val="hybridMultilevel"/>
    <w:tmpl w:val="EF8C682A"/>
    <w:lvl w:ilvl="0" w:tplc="9464647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420994"/>
    <w:multiLevelType w:val="hybridMultilevel"/>
    <w:tmpl w:val="B0B807A6"/>
    <w:lvl w:ilvl="0" w:tplc="AD7A93F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AB01EC"/>
    <w:multiLevelType w:val="hybridMultilevel"/>
    <w:tmpl w:val="E8C8E9FA"/>
    <w:lvl w:ilvl="0" w:tplc="9B58F6D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FB4A65"/>
    <w:multiLevelType w:val="hybridMultilevel"/>
    <w:tmpl w:val="E2F0A9E4"/>
    <w:lvl w:ilvl="0" w:tplc="31E45F9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7E"/>
    <w:rsid w:val="00025E13"/>
    <w:rsid w:val="00026D03"/>
    <w:rsid w:val="00057E8F"/>
    <w:rsid w:val="00071966"/>
    <w:rsid w:val="0007236D"/>
    <w:rsid w:val="00076A57"/>
    <w:rsid w:val="00082B61"/>
    <w:rsid w:val="0009242C"/>
    <w:rsid w:val="00096DFF"/>
    <w:rsid w:val="000B1960"/>
    <w:rsid w:val="000B38F6"/>
    <w:rsid w:val="000B53D4"/>
    <w:rsid w:val="000C195A"/>
    <w:rsid w:val="000C3851"/>
    <w:rsid w:val="000D0B86"/>
    <w:rsid w:val="000E39CB"/>
    <w:rsid w:val="000F40A3"/>
    <w:rsid w:val="000F5F6E"/>
    <w:rsid w:val="000F798C"/>
    <w:rsid w:val="0011605C"/>
    <w:rsid w:val="00117CA3"/>
    <w:rsid w:val="00130DE0"/>
    <w:rsid w:val="00137456"/>
    <w:rsid w:val="00144428"/>
    <w:rsid w:val="00162D5E"/>
    <w:rsid w:val="00166CD9"/>
    <w:rsid w:val="00167AF1"/>
    <w:rsid w:val="00173902"/>
    <w:rsid w:val="001910BD"/>
    <w:rsid w:val="001B12BA"/>
    <w:rsid w:val="001C315D"/>
    <w:rsid w:val="001D037A"/>
    <w:rsid w:val="001E30EA"/>
    <w:rsid w:val="001E6399"/>
    <w:rsid w:val="001F4247"/>
    <w:rsid w:val="001F69BF"/>
    <w:rsid w:val="002173D1"/>
    <w:rsid w:val="00222DF0"/>
    <w:rsid w:val="00225466"/>
    <w:rsid w:val="00251641"/>
    <w:rsid w:val="0025494F"/>
    <w:rsid w:val="0027566B"/>
    <w:rsid w:val="00280402"/>
    <w:rsid w:val="002A791D"/>
    <w:rsid w:val="002C11D1"/>
    <w:rsid w:val="002D6785"/>
    <w:rsid w:val="002E3104"/>
    <w:rsid w:val="00307DD5"/>
    <w:rsid w:val="003137C1"/>
    <w:rsid w:val="003316F7"/>
    <w:rsid w:val="0033483C"/>
    <w:rsid w:val="00347DDC"/>
    <w:rsid w:val="00354B82"/>
    <w:rsid w:val="003562F1"/>
    <w:rsid w:val="00360419"/>
    <w:rsid w:val="003717FE"/>
    <w:rsid w:val="003774AD"/>
    <w:rsid w:val="0038268C"/>
    <w:rsid w:val="00394D5B"/>
    <w:rsid w:val="0039698A"/>
    <w:rsid w:val="003A44D4"/>
    <w:rsid w:val="003B0F5A"/>
    <w:rsid w:val="003C247D"/>
    <w:rsid w:val="003F067D"/>
    <w:rsid w:val="003F7911"/>
    <w:rsid w:val="004003CA"/>
    <w:rsid w:val="00401291"/>
    <w:rsid w:val="004108C1"/>
    <w:rsid w:val="00422995"/>
    <w:rsid w:val="00426C56"/>
    <w:rsid w:val="00442C29"/>
    <w:rsid w:val="0044565B"/>
    <w:rsid w:val="00447862"/>
    <w:rsid w:val="004545B6"/>
    <w:rsid w:val="00462703"/>
    <w:rsid w:val="004906C2"/>
    <w:rsid w:val="004921DA"/>
    <w:rsid w:val="0049301D"/>
    <w:rsid w:val="004C2D54"/>
    <w:rsid w:val="004C2D7E"/>
    <w:rsid w:val="004D62EF"/>
    <w:rsid w:val="004D6767"/>
    <w:rsid w:val="004E4EB6"/>
    <w:rsid w:val="004E6D07"/>
    <w:rsid w:val="004F437A"/>
    <w:rsid w:val="00504261"/>
    <w:rsid w:val="00504B57"/>
    <w:rsid w:val="00516D88"/>
    <w:rsid w:val="00544A01"/>
    <w:rsid w:val="00553B9C"/>
    <w:rsid w:val="00554B5A"/>
    <w:rsid w:val="0056676C"/>
    <w:rsid w:val="0057054F"/>
    <w:rsid w:val="005828A0"/>
    <w:rsid w:val="005856D6"/>
    <w:rsid w:val="005A42C1"/>
    <w:rsid w:val="005B26F5"/>
    <w:rsid w:val="005B5A35"/>
    <w:rsid w:val="005E699E"/>
    <w:rsid w:val="005F22B2"/>
    <w:rsid w:val="00600A50"/>
    <w:rsid w:val="0060712B"/>
    <w:rsid w:val="006168B8"/>
    <w:rsid w:val="00637FBF"/>
    <w:rsid w:val="00674E45"/>
    <w:rsid w:val="00676B7D"/>
    <w:rsid w:val="0068621C"/>
    <w:rsid w:val="006940F2"/>
    <w:rsid w:val="006B2AAF"/>
    <w:rsid w:val="006B4D53"/>
    <w:rsid w:val="006D0F33"/>
    <w:rsid w:val="006D69E8"/>
    <w:rsid w:val="006E184B"/>
    <w:rsid w:val="006E34BD"/>
    <w:rsid w:val="006F19C8"/>
    <w:rsid w:val="006F38C7"/>
    <w:rsid w:val="0071338E"/>
    <w:rsid w:val="0071643E"/>
    <w:rsid w:val="0072669D"/>
    <w:rsid w:val="00734675"/>
    <w:rsid w:val="00744B83"/>
    <w:rsid w:val="0076003F"/>
    <w:rsid w:val="007640F5"/>
    <w:rsid w:val="0076681C"/>
    <w:rsid w:val="00766B72"/>
    <w:rsid w:val="00771352"/>
    <w:rsid w:val="00772ACC"/>
    <w:rsid w:val="007872A1"/>
    <w:rsid w:val="00787E0F"/>
    <w:rsid w:val="007B774C"/>
    <w:rsid w:val="007C7028"/>
    <w:rsid w:val="007E14D1"/>
    <w:rsid w:val="007E5E39"/>
    <w:rsid w:val="007F36A7"/>
    <w:rsid w:val="007F50C6"/>
    <w:rsid w:val="007F6231"/>
    <w:rsid w:val="00815794"/>
    <w:rsid w:val="00817E9B"/>
    <w:rsid w:val="00821F97"/>
    <w:rsid w:val="0082286A"/>
    <w:rsid w:val="008255B5"/>
    <w:rsid w:val="008263BE"/>
    <w:rsid w:val="008320E6"/>
    <w:rsid w:val="00834845"/>
    <w:rsid w:val="00845FDA"/>
    <w:rsid w:val="00846B3A"/>
    <w:rsid w:val="00847A1D"/>
    <w:rsid w:val="00855EF9"/>
    <w:rsid w:val="008643D8"/>
    <w:rsid w:val="008675C0"/>
    <w:rsid w:val="0087216B"/>
    <w:rsid w:val="0088228A"/>
    <w:rsid w:val="008846E8"/>
    <w:rsid w:val="00892ACD"/>
    <w:rsid w:val="008A66D2"/>
    <w:rsid w:val="008B05E5"/>
    <w:rsid w:val="008B13F6"/>
    <w:rsid w:val="008B2379"/>
    <w:rsid w:val="008C3F3C"/>
    <w:rsid w:val="008D1231"/>
    <w:rsid w:val="008D175F"/>
    <w:rsid w:val="008D2504"/>
    <w:rsid w:val="008D7A24"/>
    <w:rsid w:val="008E0966"/>
    <w:rsid w:val="008E11E6"/>
    <w:rsid w:val="009041FF"/>
    <w:rsid w:val="00904DE2"/>
    <w:rsid w:val="00912ECE"/>
    <w:rsid w:val="009175F4"/>
    <w:rsid w:val="009217AE"/>
    <w:rsid w:val="00922A72"/>
    <w:rsid w:val="0093754C"/>
    <w:rsid w:val="0097474B"/>
    <w:rsid w:val="0099317C"/>
    <w:rsid w:val="009B7245"/>
    <w:rsid w:val="009C2008"/>
    <w:rsid w:val="009C46A0"/>
    <w:rsid w:val="009E56BC"/>
    <w:rsid w:val="009F5E0A"/>
    <w:rsid w:val="00A13411"/>
    <w:rsid w:val="00A148E2"/>
    <w:rsid w:val="00A220FA"/>
    <w:rsid w:val="00A2228E"/>
    <w:rsid w:val="00A30062"/>
    <w:rsid w:val="00A54E63"/>
    <w:rsid w:val="00A6591E"/>
    <w:rsid w:val="00A716B0"/>
    <w:rsid w:val="00A83870"/>
    <w:rsid w:val="00AA1AF8"/>
    <w:rsid w:val="00AA49F6"/>
    <w:rsid w:val="00AB7337"/>
    <w:rsid w:val="00AC121E"/>
    <w:rsid w:val="00AD022B"/>
    <w:rsid w:val="00AD2784"/>
    <w:rsid w:val="00AD787C"/>
    <w:rsid w:val="00AE62C5"/>
    <w:rsid w:val="00AF7CEE"/>
    <w:rsid w:val="00B00B73"/>
    <w:rsid w:val="00B122F2"/>
    <w:rsid w:val="00B31187"/>
    <w:rsid w:val="00B41311"/>
    <w:rsid w:val="00B41683"/>
    <w:rsid w:val="00B4799D"/>
    <w:rsid w:val="00B51DC0"/>
    <w:rsid w:val="00B54CB5"/>
    <w:rsid w:val="00B6336C"/>
    <w:rsid w:val="00B7011C"/>
    <w:rsid w:val="00B70141"/>
    <w:rsid w:val="00B77088"/>
    <w:rsid w:val="00B82EA6"/>
    <w:rsid w:val="00B91F1D"/>
    <w:rsid w:val="00B933B4"/>
    <w:rsid w:val="00B94337"/>
    <w:rsid w:val="00BA2FA6"/>
    <w:rsid w:val="00BA3FC6"/>
    <w:rsid w:val="00BB0C54"/>
    <w:rsid w:val="00BB1280"/>
    <w:rsid w:val="00BC68D5"/>
    <w:rsid w:val="00BD01EE"/>
    <w:rsid w:val="00BD0241"/>
    <w:rsid w:val="00BD6CBD"/>
    <w:rsid w:val="00BE2502"/>
    <w:rsid w:val="00BE5269"/>
    <w:rsid w:val="00BF61EA"/>
    <w:rsid w:val="00C1335F"/>
    <w:rsid w:val="00C13B70"/>
    <w:rsid w:val="00C143BD"/>
    <w:rsid w:val="00C1729C"/>
    <w:rsid w:val="00C20BD1"/>
    <w:rsid w:val="00C24445"/>
    <w:rsid w:val="00C3039C"/>
    <w:rsid w:val="00C400D4"/>
    <w:rsid w:val="00C42593"/>
    <w:rsid w:val="00C551A1"/>
    <w:rsid w:val="00C64AF5"/>
    <w:rsid w:val="00C84770"/>
    <w:rsid w:val="00C85DE3"/>
    <w:rsid w:val="00C91E23"/>
    <w:rsid w:val="00C927EB"/>
    <w:rsid w:val="00C93D7F"/>
    <w:rsid w:val="00CA5920"/>
    <w:rsid w:val="00CB016A"/>
    <w:rsid w:val="00CC1552"/>
    <w:rsid w:val="00CC1944"/>
    <w:rsid w:val="00CC35C1"/>
    <w:rsid w:val="00CC47F6"/>
    <w:rsid w:val="00CD4AEE"/>
    <w:rsid w:val="00CD653F"/>
    <w:rsid w:val="00CD7852"/>
    <w:rsid w:val="00CE046C"/>
    <w:rsid w:val="00CE0960"/>
    <w:rsid w:val="00CE4FFB"/>
    <w:rsid w:val="00CF1353"/>
    <w:rsid w:val="00CF19A3"/>
    <w:rsid w:val="00D0062C"/>
    <w:rsid w:val="00D10B0D"/>
    <w:rsid w:val="00D1756C"/>
    <w:rsid w:val="00D32370"/>
    <w:rsid w:val="00D338D3"/>
    <w:rsid w:val="00D35245"/>
    <w:rsid w:val="00D37635"/>
    <w:rsid w:val="00D37738"/>
    <w:rsid w:val="00D443B0"/>
    <w:rsid w:val="00D44A27"/>
    <w:rsid w:val="00D532C8"/>
    <w:rsid w:val="00D55D05"/>
    <w:rsid w:val="00D67D68"/>
    <w:rsid w:val="00D71745"/>
    <w:rsid w:val="00D742E2"/>
    <w:rsid w:val="00D82E00"/>
    <w:rsid w:val="00D858E6"/>
    <w:rsid w:val="00D95669"/>
    <w:rsid w:val="00DA3320"/>
    <w:rsid w:val="00DB1313"/>
    <w:rsid w:val="00DB6C87"/>
    <w:rsid w:val="00DB752B"/>
    <w:rsid w:val="00DC4EAA"/>
    <w:rsid w:val="00DE4A7F"/>
    <w:rsid w:val="00DF20AF"/>
    <w:rsid w:val="00DF2EFD"/>
    <w:rsid w:val="00E011BD"/>
    <w:rsid w:val="00E17D5D"/>
    <w:rsid w:val="00E2130B"/>
    <w:rsid w:val="00E374A7"/>
    <w:rsid w:val="00E4621D"/>
    <w:rsid w:val="00E548F5"/>
    <w:rsid w:val="00E54FEC"/>
    <w:rsid w:val="00E55AA0"/>
    <w:rsid w:val="00E57CE7"/>
    <w:rsid w:val="00E65473"/>
    <w:rsid w:val="00E65DAD"/>
    <w:rsid w:val="00E71988"/>
    <w:rsid w:val="00E81749"/>
    <w:rsid w:val="00E83716"/>
    <w:rsid w:val="00E9089A"/>
    <w:rsid w:val="00E91677"/>
    <w:rsid w:val="00E94D0E"/>
    <w:rsid w:val="00E94F94"/>
    <w:rsid w:val="00EA0AE6"/>
    <w:rsid w:val="00EB3E02"/>
    <w:rsid w:val="00EB7FF1"/>
    <w:rsid w:val="00EC3026"/>
    <w:rsid w:val="00EC75CA"/>
    <w:rsid w:val="00EF6E16"/>
    <w:rsid w:val="00F1023F"/>
    <w:rsid w:val="00F22346"/>
    <w:rsid w:val="00F24608"/>
    <w:rsid w:val="00F25958"/>
    <w:rsid w:val="00F26664"/>
    <w:rsid w:val="00F27C55"/>
    <w:rsid w:val="00F34FB1"/>
    <w:rsid w:val="00F35C72"/>
    <w:rsid w:val="00F35FF9"/>
    <w:rsid w:val="00F51B41"/>
    <w:rsid w:val="00F5767E"/>
    <w:rsid w:val="00F7565C"/>
    <w:rsid w:val="00F75A3E"/>
    <w:rsid w:val="00F8646B"/>
    <w:rsid w:val="00FA0FCE"/>
    <w:rsid w:val="00FA19DE"/>
    <w:rsid w:val="00FC5C81"/>
    <w:rsid w:val="00FD0B07"/>
    <w:rsid w:val="00FD1A62"/>
    <w:rsid w:val="00FD31A3"/>
    <w:rsid w:val="00FE0F0E"/>
    <w:rsid w:val="00FE29CF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F5C6A"/>
  <w15:docId w15:val="{90123276-28E0-414D-934F-8419475B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76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767E"/>
  </w:style>
  <w:style w:type="paragraph" w:styleId="Stopka">
    <w:name w:val="footer"/>
    <w:basedOn w:val="Normalny"/>
    <w:link w:val="StopkaZnak"/>
    <w:uiPriority w:val="99"/>
    <w:unhideWhenUsed/>
    <w:rsid w:val="00F576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67E"/>
  </w:style>
  <w:style w:type="paragraph" w:styleId="Tekstdymka">
    <w:name w:val="Balloon Text"/>
    <w:basedOn w:val="Normalny"/>
    <w:link w:val="TekstdymkaZnak"/>
    <w:uiPriority w:val="99"/>
    <w:semiHidden/>
    <w:unhideWhenUsed/>
    <w:rsid w:val="00F576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67E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772AC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037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87E0F"/>
    <w:rPr>
      <w:b/>
      <w:bCs/>
    </w:rPr>
  </w:style>
  <w:style w:type="paragraph" w:styleId="NormalnyWeb">
    <w:name w:val="Normal (Web)"/>
    <w:basedOn w:val="Normalny"/>
    <w:uiPriority w:val="99"/>
    <w:unhideWhenUsed/>
    <w:rsid w:val="00787E0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19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19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1944"/>
    <w:rPr>
      <w:vertAlign w:val="superscript"/>
    </w:rPr>
  </w:style>
  <w:style w:type="paragraph" w:customStyle="1" w:styleId="Default">
    <w:name w:val="Default"/>
    <w:rsid w:val="003C24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3C247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3C247D"/>
    <w:rPr>
      <w:rFonts w:ascii="Calibri" w:eastAsia="Times New Roman" w:hAnsi="Calibri" w:cs="Times New Roman"/>
      <w:lang w:eastAsia="pl-PL"/>
    </w:rPr>
  </w:style>
  <w:style w:type="character" w:customStyle="1" w:styleId="apple-style-span">
    <w:name w:val="apple-style-span"/>
    <w:rsid w:val="0093754C"/>
  </w:style>
  <w:style w:type="paragraph" w:styleId="Tekstprzypisudolnego">
    <w:name w:val="footnote text"/>
    <w:basedOn w:val="Normalny"/>
    <w:link w:val="TekstprzypisudolnegoZnak"/>
    <w:semiHidden/>
    <w:unhideWhenUsed/>
    <w:rsid w:val="009B72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72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B7245"/>
    <w:pPr>
      <w:ind w:left="-142"/>
      <w:jc w:val="center"/>
    </w:pPr>
    <w:rPr>
      <w:b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7245"/>
    <w:rPr>
      <w:rFonts w:ascii="Times New Roman" w:eastAsia="Times New Roman" w:hAnsi="Times New Roman" w:cs="Times New Roman"/>
      <w:b/>
      <w:sz w:val="28"/>
    </w:rPr>
  </w:style>
  <w:style w:type="paragraph" w:styleId="Podtytu">
    <w:name w:val="Subtitle"/>
    <w:basedOn w:val="Normalny"/>
    <w:link w:val="PodtytuZnak"/>
    <w:qFormat/>
    <w:rsid w:val="009B7245"/>
    <w:pPr>
      <w:tabs>
        <w:tab w:val="left" w:pos="4035"/>
      </w:tabs>
      <w:jc w:val="center"/>
    </w:pPr>
    <w:rPr>
      <w:b/>
      <w:sz w:val="28"/>
      <w:szCs w:val="22"/>
    </w:rPr>
  </w:style>
  <w:style w:type="character" w:customStyle="1" w:styleId="PodtytuZnak">
    <w:name w:val="Podtytuł Znak"/>
    <w:basedOn w:val="Domylnaczcionkaakapitu"/>
    <w:link w:val="Podtytu"/>
    <w:rsid w:val="009B7245"/>
    <w:rPr>
      <w:rFonts w:ascii="Times New Roman" w:eastAsia="Times New Roman" w:hAnsi="Times New Roman" w:cs="Times New Roman"/>
      <w:b/>
      <w:sz w:val="2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9CB"/>
    <w:rPr>
      <w:vertAlign w:val="superscript"/>
    </w:rPr>
  </w:style>
  <w:style w:type="table" w:styleId="Tabela-Siatka">
    <w:name w:val="Table Grid"/>
    <w:basedOn w:val="Standardowy"/>
    <w:uiPriority w:val="39"/>
    <w:rsid w:val="000B5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6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37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8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07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66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7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E7F64-7765-462E-A820-250B6B83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 Zawadzka</dc:creator>
  <cp:lastModifiedBy>Hanna Polakowska-Szulawska</cp:lastModifiedBy>
  <cp:revision>16</cp:revision>
  <cp:lastPrinted>2017-11-29T08:13:00Z</cp:lastPrinted>
  <dcterms:created xsi:type="dcterms:W3CDTF">2017-11-29T08:14:00Z</dcterms:created>
  <dcterms:modified xsi:type="dcterms:W3CDTF">2017-12-12T09:00:00Z</dcterms:modified>
</cp:coreProperties>
</file>