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04" w:rsidRDefault="00FB7B04"/>
    <w:p w:rsidR="00B24990" w:rsidRPr="006A41E8" w:rsidRDefault="00FB7B04" w:rsidP="00B24990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B24990">
        <w:rPr>
          <w:b/>
        </w:rPr>
        <w:t>Studia przypadków</w:t>
      </w:r>
      <w:r w:rsidR="00B24990" w:rsidRPr="00B24990">
        <w:rPr>
          <w:b/>
        </w:rPr>
        <w:t xml:space="preserve"> do</w:t>
      </w:r>
      <w:r w:rsidR="00B24990">
        <w:t xml:space="preserve"> </w:t>
      </w:r>
      <w:r w:rsidR="00B24990" w:rsidRPr="006A41E8">
        <w:rPr>
          <w:rFonts w:asciiTheme="minorHAnsi" w:hAnsiTheme="minorHAnsi" w:cstheme="minorHAnsi"/>
          <w:b/>
          <w:lang w:eastAsia="ar-SA"/>
        </w:rPr>
        <w:t>„STUDIA PODYPLOMOWE DLA PRACOWNIKÓW WYMIARU SPRAWIEDLIWOŚCI – PRAWO RESTRUKTURYZACYJNE, UPADŁOŚCIOWE I FINANSOWE”</w:t>
      </w:r>
    </w:p>
    <w:p w:rsidR="00FB7B04" w:rsidRDefault="00B24990" w:rsidP="00B24990">
      <w:pPr>
        <w:rPr>
          <w:rFonts w:asciiTheme="minorHAnsi" w:hAnsiTheme="minorHAnsi" w:cstheme="minorHAnsi"/>
          <w:b/>
          <w:bCs/>
          <w:iCs/>
        </w:rPr>
      </w:pPr>
      <w:r w:rsidRPr="006A41E8">
        <w:rPr>
          <w:rFonts w:asciiTheme="minorHAnsi" w:hAnsiTheme="minorHAnsi" w:cstheme="minorHAnsi"/>
        </w:rPr>
        <w:t xml:space="preserve">Moduł </w:t>
      </w:r>
      <w:r w:rsidRPr="006A41E8">
        <w:rPr>
          <w:rFonts w:asciiTheme="minorHAnsi" w:hAnsiTheme="minorHAnsi" w:cstheme="minorHAnsi"/>
          <w:b/>
          <w:bCs/>
          <w:i/>
          <w:iCs/>
        </w:rPr>
        <w:t>„</w:t>
      </w:r>
      <w:r>
        <w:rPr>
          <w:rFonts w:asciiTheme="minorHAnsi" w:hAnsiTheme="minorHAnsi" w:cstheme="minorHAnsi"/>
          <w:b/>
          <w:bCs/>
          <w:i/>
          <w:iCs/>
        </w:rPr>
        <w:t>Źródła finansowania przedsiębiorstw</w:t>
      </w:r>
      <w:r w:rsidRPr="006A41E8">
        <w:rPr>
          <w:rFonts w:asciiTheme="minorHAnsi" w:hAnsiTheme="minorHAnsi" w:cstheme="minorHAnsi"/>
          <w:b/>
          <w:bCs/>
          <w:i/>
          <w:iCs/>
        </w:rPr>
        <w:t>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84A98">
        <w:rPr>
          <w:rFonts w:asciiTheme="minorHAnsi" w:hAnsiTheme="minorHAnsi" w:cstheme="minorHAnsi"/>
          <w:b/>
          <w:bCs/>
          <w:iCs/>
        </w:rPr>
        <w:t>(</w:t>
      </w:r>
      <w:r>
        <w:rPr>
          <w:rFonts w:asciiTheme="minorHAnsi" w:hAnsiTheme="minorHAnsi" w:cstheme="minorHAnsi"/>
          <w:b/>
          <w:bCs/>
          <w:iCs/>
        </w:rPr>
        <w:t>warsztaty</w:t>
      </w:r>
      <w:r w:rsidRPr="00184A98">
        <w:rPr>
          <w:rFonts w:asciiTheme="minorHAnsi" w:hAnsiTheme="minorHAnsi" w:cstheme="minorHAnsi"/>
          <w:b/>
          <w:bCs/>
          <w:iCs/>
        </w:rPr>
        <w:t>)</w:t>
      </w:r>
    </w:p>
    <w:p w:rsidR="00B24990" w:rsidRDefault="00B24990" w:rsidP="00B24990"/>
    <w:p w:rsidR="00FB7B04" w:rsidRPr="00FB7B04" w:rsidRDefault="00FB7B04" w:rsidP="00FB7B04">
      <w:pPr>
        <w:pStyle w:val="Akapitzlist"/>
        <w:numPr>
          <w:ilvl w:val="0"/>
          <w:numId w:val="2"/>
        </w:numPr>
        <w:rPr>
          <w:b/>
        </w:rPr>
      </w:pPr>
      <w:r w:rsidRPr="00FB7B04">
        <w:rPr>
          <w:b/>
        </w:rPr>
        <w:t>Amortyzacja plus zysk netto = nadwyżka finansowa</w:t>
      </w:r>
    </w:p>
    <w:p w:rsidR="00935D29" w:rsidRDefault="00935D29">
      <w:r>
        <w:t>Jednostka gospodarcza nabyła lini</w:t>
      </w:r>
      <w:r w:rsidR="00FB7B04">
        <w:t>ę technologiczną za 1.000.000</w:t>
      </w:r>
      <w:r>
        <w:t xml:space="preserve"> zło</w:t>
      </w:r>
      <w:r w:rsidR="00FB7B04">
        <w:t>tych. Według przewidywań zarządu</w:t>
      </w:r>
      <w:r>
        <w:t xml:space="preserve"> zysk na sprzedaży, bez ujęcia amortyzac</w:t>
      </w:r>
      <w:r w:rsidR="00FB7B04">
        <w:t>ji linii technologicznej został</w:t>
      </w:r>
      <w:r>
        <w:t xml:space="preserve"> o</w:t>
      </w:r>
      <w:r w:rsidR="00FB7B04">
        <w:t>szacowany na poziomie 300.000</w:t>
      </w:r>
      <w:r>
        <w:t xml:space="preserve"> złotych rocznie. Stopa podatku dochodowego wynosi 19 %.</w:t>
      </w:r>
    </w:p>
    <w:p w:rsidR="00FB7B04" w:rsidRDefault="00FB7B04"/>
    <w:p w:rsidR="00935D29" w:rsidRDefault="00935D29">
      <w:r>
        <w:t>Na podstawie przedstawionych założeń obliczyć wynik finansowy netto oraz nadwyżkę finansową dla pięciu kolejnych lat, zakładając, że:</w:t>
      </w:r>
    </w:p>
    <w:p w:rsidR="003E34A7" w:rsidRDefault="00935D29" w:rsidP="00935D29">
      <w:pPr>
        <w:pStyle w:val="Akapitzlist"/>
        <w:numPr>
          <w:ilvl w:val="0"/>
          <w:numId w:val="1"/>
        </w:numPr>
      </w:pPr>
      <w:r>
        <w:t>Wariant I – linia technologiczna będzie amortyzowana metodą liniową (okres ekonomicznej użyteczności linii technologicznej wynosi 5 lat, czyli stopa amortyzacji 20%).</w:t>
      </w:r>
    </w:p>
    <w:p w:rsidR="00935D29" w:rsidRDefault="00935D29" w:rsidP="00935D29">
      <w:pPr>
        <w:pStyle w:val="Akapitzlist"/>
        <w:numPr>
          <w:ilvl w:val="0"/>
          <w:numId w:val="1"/>
        </w:numPr>
      </w:pPr>
      <w:r>
        <w:t>Wariant II – linia technologiczna będzie amortyzowana metodą degresywną – liniową (stopa amortyzacji 20 %, współczynnik podwyższający 1,4, po zrównaniu odpisów amortyzujących liczonych metodą degresywną z odpisami liczonymi metoda liniową – przejście na metodę liniową).</w:t>
      </w:r>
    </w:p>
    <w:p w:rsidR="00822BDE" w:rsidRDefault="00822BDE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4050D1" w:rsidRDefault="004050D1" w:rsidP="00822BDE"/>
    <w:p w:rsidR="00822BDE" w:rsidRDefault="00FB7B04" w:rsidP="00822BDE">
      <w:r>
        <w:lastRenderedPageBreak/>
        <w:t>Rozwiązanie</w:t>
      </w:r>
      <w:r w:rsidR="00822BDE">
        <w:t>:</w:t>
      </w:r>
    </w:p>
    <w:p w:rsidR="00822BDE" w:rsidRDefault="00822BDE" w:rsidP="00822BDE"/>
    <w:p w:rsidR="00822BDE" w:rsidRDefault="00FB7B04" w:rsidP="00822BDE">
      <w:r>
        <w:t>Wynik finansowy i nadwyżkę finansową</w:t>
      </w:r>
      <w:r w:rsidR="00822BDE">
        <w:t xml:space="preserve"> w wariancie I zawiera tabela numer 1, a w wariancie II – tabela numer 2.</w:t>
      </w:r>
    </w:p>
    <w:p w:rsidR="00822BDE" w:rsidRDefault="004050D1" w:rsidP="00822BDE">
      <w: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1170"/>
        <w:gridCol w:w="1171"/>
        <w:gridCol w:w="1172"/>
        <w:gridCol w:w="1244"/>
        <w:gridCol w:w="1172"/>
        <w:gridCol w:w="1211"/>
      </w:tblGrid>
      <w:tr w:rsidR="00822BDE" w:rsidTr="00822BDE">
        <w:tc>
          <w:tcPr>
            <w:tcW w:w="1922" w:type="dxa"/>
          </w:tcPr>
          <w:p w:rsidR="00822BDE" w:rsidRDefault="00822BDE" w:rsidP="004050D1">
            <w:pPr>
              <w:jc w:val="left"/>
            </w:pPr>
            <w:r>
              <w:t>wyszczególnienie</w:t>
            </w:r>
          </w:p>
        </w:tc>
        <w:tc>
          <w:tcPr>
            <w:tcW w:w="1170" w:type="dxa"/>
          </w:tcPr>
          <w:p w:rsidR="00822BDE" w:rsidRDefault="00822BDE" w:rsidP="00822BDE">
            <w:r>
              <w:t xml:space="preserve">rok 1 </w:t>
            </w:r>
          </w:p>
        </w:tc>
        <w:tc>
          <w:tcPr>
            <w:tcW w:w="1171" w:type="dxa"/>
          </w:tcPr>
          <w:p w:rsidR="00822BDE" w:rsidRDefault="00822BDE" w:rsidP="00822BDE">
            <w:r>
              <w:t>rok 2</w:t>
            </w:r>
          </w:p>
        </w:tc>
        <w:tc>
          <w:tcPr>
            <w:tcW w:w="1172" w:type="dxa"/>
          </w:tcPr>
          <w:p w:rsidR="00822BDE" w:rsidRDefault="00822BDE" w:rsidP="00822BDE">
            <w:r>
              <w:t>rok 3</w:t>
            </w:r>
          </w:p>
        </w:tc>
        <w:tc>
          <w:tcPr>
            <w:tcW w:w="1244" w:type="dxa"/>
          </w:tcPr>
          <w:p w:rsidR="00822BDE" w:rsidRDefault="00822BDE" w:rsidP="00822BDE">
            <w:r>
              <w:t>rok 4</w:t>
            </w:r>
          </w:p>
        </w:tc>
        <w:tc>
          <w:tcPr>
            <w:tcW w:w="1172" w:type="dxa"/>
          </w:tcPr>
          <w:p w:rsidR="00822BDE" w:rsidRDefault="00822BDE" w:rsidP="00822BDE">
            <w:r>
              <w:t xml:space="preserve">rok 5 </w:t>
            </w:r>
          </w:p>
        </w:tc>
        <w:tc>
          <w:tcPr>
            <w:tcW w:w="1211" w:type="dxa"/>
          </w:tcPr>
          <w:p w:rsidR="00822BDE" w:rsidRDefault="00822BDE" w:rsidP="00822BDE">
            <w:r>
              <w:t>razem</w:t>
            </w:r>
          </w:p>
        </w:tc>
      </w:tr>
      <w:tr w:rsidR="00822BDE" w:rsidTr="00822BDE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r>
              <w:t xml:space="preserve">1. </w:t>
            </w:r>
            <w:r w:rsidR="00822BDE">
              <w:t>zysk na sprzedaży (bez amortyzacji)</w:t>
            </w:r>
          </w:p>
        </w:tc>
        <w:tc>
          <w:tcPr>
            <w:tcW w:w="1170" w:type="dxa"/>
          </w:tcPr>
          <w:p w:rsidR="00822BDE" w:rsidRDefault="00822BDE" w:rsidP="004050D1">
            <w:pPr>
              <w:jc w:val="center"/>
            </w:pPr>
            <w:r>
              <w:t>300 000</w:t>
            </w:r>
          </w:p>
        </w:tc>
        <w:tc>
          <w:tcPr>
            <w:tcW w:w="1171" w:type="dxa"/>
          </w:tcPr>
          <w:p w:rsidR="00822BDE" w:rsidRDefault="00822BDE" w:rsidP="004050D1">
            <w:pPr>
              <w:jc w:val="center"/>
            </w:pPr>
            <w:r w:rsidRPr="00822BDE">
              <w:t>300 000</w:t>
            </w:r>
          </w:p>
        </w:tc>
        <w:tc>
          <w:tcPr>
            <w:tcW w:w="1172" w:type="dxa"/>
          </w:tcPr>
          <w:p w:rsidR="00822BDE" w:rsidRDefault="00822BDE" w:rsidP="004050D1">
            <w:pPr>
              <w:jc w:val="center"/>
            </w:pPr>
            <w:r w:rsidRPr="00822BDE">
              <w:t>300 000</w:t>
            </w:r>
          </w:p>
        </w:tc>
        <w:tc>
          <w:tcPr>
            <w:tcW w:w="1244" w:type="dxa"/>
          </w:tcPr>
          <w:p w:rsidR="00822BDE" w:rsidRDefault="00822BDE" w:rsidP="004050D1">
            <w:pPr>
              <w:jc w:val="center"/>
            </w:pPr>
            <w:r w:rsidRPr="00822BDE">
              <w:t>300 000</w:t>
            </w:r>
          </w:p>
        </w:tc>
        <w:tc>
          <w:tcPr>
            <w:tcW w:w="1172" w:type="dxa"/>
          </w:tcPr>
          <w:p w:rsidR="00822BDE" w:rsidRDefault="00822BDE" w:rsidP="004050D1">
            <w:pPr>
              <w:jc w:val="center"/>
            </w:pPr>
            <w:r w:rsidRPr="00822BDE">
              <w:t>300 000</w:t>
            </w:r>
          </w:p>
        </w:tc>
        <w:tc>
          <w:tcPr>
            <w:tcW w:w="1211" w:type="dxa"/>
          </w:tcPr>
          <w:p w:rsidR="00822BDE" w:rsidRDefault="00822BDE" w:rsidP="004050D1">
            <w:pPr>
              <w:jc w:val="center"/>
            </w:pPr>
            <w:r>
              <w:t>1 500 00</w:t>
            </w:r>
          </w:p>
        </w:tc>
      </w:tr>
      <w:tr w:rsidR="00822BDE" w:rsidTr="00822BDE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2.</w:t>
            </w:r>
            <w:r w:rsidR="00822BDE">
              <w:t>amortyzacja</w:t>
            </w:r>
            <w:proofErr w:type="spellEnd"/>
          </w:p>
        </w:tc>
        <w:tc>
          <w:tcPr>
            <w:tcW w:w="1170" w:type="dxa"/>
          </w:tcPr>
          <w:p w:rsidR="00822BDE" w:rsidRDefault="00822BDE" w:rsidP="004050D1">
            <w:pPr>
              <w:jc w:val="center"/>
            </w:pPr>
            <w:r>
              <w:t>200 000</w:t>
            </w:r>
          </w:p>
        </w:tc>
        <w:tc>
          <w:tcPr>
            <w:tcW w:w="1171" w:type="dxa"/>
          </w:tcPr>
          <w:p w:rsidR="00822BDE" w:rsidRDefault="00822BDE" w:rsidP="004050D1">
            <w:pPr>
              <w:jc w:val="center"/>
            </w:pPr>
            <w:r w:rsidRPr="00822BDE">
              <w:t>200 000</w:t>
            </w:r>
          </w:p>
        </w:tc>
        <w:tc>
          <w:tcPr>
            <w:tcW w:w="1172" w:type="dxa"/>
          </w:tcPr>
          <w:p w:rsidR="00822BDE" w:rsidRDefault="00822BDE" w:rsidP="004050D1">
            <w:pPr>
              <w:jc w:val="center"/>
            </w:pPr>
            <w:r w:rsidRPr="00822BDE">
              <w:t>200 000</w:t>
            </w:r>
          </w:p>
        </w:tc>
        <w:tc>
          <w:tcPr>
            <w:tcW w:w="1244" w:type="dxa"/>
          </w:tcPr>
          <w:p w:rsidR="00822BDE" w:rsidRDefault="00822BDE" w:rsidP="004050D1">
            <w:pPr>
              <w:jc w:val="center"/>
            </w:pPr>
            <w:r w:rsidRPr="00822BDE">
              <w:t>200 000</w:t>
            </w:r>
          </w:p>
        </w:tc>
        <w:tc>
          <w:tcPr>
            <w:tcW w:w="1172" w:type="dxa"/>
          </w:tcPr>
          <w:p w:rsidR="00822BDE" w:rsidRDefault="00822BDE" w:rsidP="004050D1">
            <w:pPr>
              <w:jc w:val="center"/>
            </w:pPr>
            <w:r w:rsidRPr="00EA05FB">
              <w:t>100 000</w:t>
            </w:r>
          </w:p>
        </w:tc>
        <w:tc>
          <w:tcPr>
            <w:tcW w:w="1211" w:type="dxa"/>
          </w:tcPr>
          <w:p w:rsidR="00822BDE" w:rsidRDefault="00822BDE" w:rsidP="004050D1">
            <w:pPr>
              <w:jc w:val="center"/>
            </w:pPr>
            <w:r>
              <w:t>1 000 000</w:t>
            </w:r>
          </w:p>
        </w:tc>
      </w:tr>
      <w:tr w:rsidR="00822BDE" w:rsidTr="00822BDE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3.</w:t>
            </w:r>
            <w:r w:rsidR="00822BDE">
              <w:t>zysk</w:t>
            </w:r>
            <w:proofErr w:type="spellEnd"/>
            <w:r w:rsidR="00822BDE">
              <w:t xml:space="preserve"> na sprzedaży (1-2)</w:t>
            </w:r>
          </w:p>
        </w:tc>
        <w:tc>
          <w:tcPr>
            <w:tcW w:w="1170" w:type="dxa"/>
          </w:tcPr>
          <w:p w:rsidR="00822BDE" w:rsidRDefault="00822BDE" w:rsidP="004050D1">
            <w:pPr>
              <w:jc w:val="center"/>
            </w:pPr>
            <w:r>
              <w:t>100 000</w:t>
            </w:r>
          </w:p>
        </w:tc>
        <w:tc>
          <w:tcPr>
            <w:tcW w:w="1171" w:type="dxa"/>
          </w:tcPr>
          <w:p w:rsidR="00822BDE" w:rsidRDefault="00822BDE" w:rsidP="004050D1">
            <w:pPr>
              <w:jc w:val="center"/>
            </w:pPr>
            <w:r w:rsidRPr="00822BDE">
              <w:t>100 000</w:t>
            </w:r>
          </w:p>
        </w:tc>
        <w:tc>
          <w:tcPr>
            <w:tcW w:w="1172" w:type="dxa"/>
          </w:tcPr>
          <w:p w:rsidR="00822BDE" w:rsidRDefault="00822BDE" w:rsidP="004050D1">
            <w:pPr>
              <w:jc w:val="center"/>
            </w:pPr>
            <w:r w:rsidRPr="00822BDE">
              <w:t>100 000</w:t>
            </w:r>
          </w:p>
        </w:tc>
        <w:tc>
          <w:tcPr>
            <w:tcW w:w="1244" w:type="dxa"/>
          </w:tcPr>
          <w:p w:rsidR="00822BDE" w:rsidRDefault="00822BDE" w:rsidP="004050D1">
            <w:pPr>
              <w:jc w:val="center"/>
            </w:pPr>
            <w:r w:rsidRPr="00822BDE">
              <w:t>100</w:t>
            </w:r>
            <w:r>
              <w:t> </w:t>
            </w:r>
            <w:r w:rsidRPr="00822BDE">
              <w:t>000</w:t>
            </w:r>
          </w:p>
        </w:tc>
        <w:tc>
          <w:tcPr>
            <w:tcW w:w="1172" w:type="dxa"/>
          </w:tcPr>
          <w:p w:rsidR="00822BDE" w:rsidRDefault="00822BDE" w:rsidP="004050D1">
            <w:pPr>
              <w:jc w:val="center"/>
            </w:pPr>
            <w:r w:rsidRPr="00EA05FB">
              <w:t>100 000</w:t>
            </w:r>
          </w:p>
        </w:tc>
        <w:tc>
          <w:tcPr>
            <w:tcW w:w="1211" w:type="dxa"/>
          </w:tcPr>
          <w:p w:rsidR="00822BDE" w:rsidRDefault="00822BDE" w:rsidP="004050D1">
            <w:pPr>
              <w:jc w:val="center"/>
            </w:pPr>
            <w:r>
              <w:t>500 000</w:t>
            </w:r>
          </w:p>
        </w:tc>
      </w:tr>
      <w:tr w:rsidR="00822BDE" w:rsidTr="00822BDE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4.</w:t>
            </w:r>
            <w:r w:rsidR="00822BDE">
              <w:t>podatek</w:t>
            </w:r>
            <w:proofErr w:type="spellEnd"/>
            <w:r w:rsidR="00822BDE">
              <w:t xml:space="preserve"> dochodowy</w:t>
            </w:r>
          </w:p>
        </w:tc>
        <w:tc>
          <w:tcPr>
            <w:tcW w:w="1170" w:type="dxa"/>
          </w:tcPr>
          <w:p w:rsidR="00822BDE" w:rsidRDefault="0016421B" w:rsidP="004050D1">
            <w:pPr>
              <w:jc w:val="center"/>
            </w:pPr>
            <w:r>
              <w:t>19 000</w:t>
            </w:r>
          </w:p>
        </w:tc>
        <w:tc>
          <w:tcPr>
            <w:tcW w:w="1171" w:type="dxa"/>
          </w:tcPr>
          <w:p w:rsidR="00822BDE" w:rsidRDefault="0016421B" w:rsidP="004050D1">
            <w:pPr>
              <w:jc w:val="center"/>
            </w:pPr>
            <w:r w:rsidRPr="0016421B">
              <w:t>19 000</w:t>
            </w:r>
          </w:p>
        </w:tc>
        <w:tc>
          <w:tcPr>
            <w:tcW w:w="1172" w:type="dxa"/>
          </w:tcPr>
          <w:p w:rsidR="00822BDE" w:rsidRDefault="0016421B" w:rsidP="004050D1">
            <w:pPr>
              <w:jc w:val="center"/>
            </w:pPr>
            <w:r w:rsidRPr="0016421B">
              <w:t>19 000</w:t>
            </w:r>
          </w:p>
        </w:tc>
        <w:tc>
          <w:tcPr>
            <w:tcW w:w="1244" w:type="dxa"/>
          </w:tcPr>
          <w:p w:rsidR="00822BDE" w:rsidRDefault="0016421B" w:rsidP="004050D1">
            <w:pPr>
              <w:jc w:val="center"/>
            </w:pPr>
            <w:r w:rsidRPr="0016421B">
              <w:t>19 000</w:t>
            </w:r>
          </w:p>
        </w:tc>
        <w:tc>
          <w:tcPr>
            <w:tcW w:w="1172" w:type="dxa"/>
          </w:tcPr>
          <w:p w:rsidR="00822BDE" w:rsidRDefault="0016421B" w:rsidP="004050D1">
            <w:pPr>
              <w:jc w:val="center"/>
            </w:pPr>
            <w:r>
              <w:t>19 000</w:t>
            </w:r>
          </w:p>
        </w:tc>
        <w:tc>
          <w:tcPr>
            <w:tcW w:w="1211" w:type="dxa"/>
          </w:tcPr>
          <w:p w:rsidR="00822BDE" w:rsidRDefault="0016421B" w:rsidP="004050D1">
            <w:pPr>
              <w:jc w:val="center"/>
            </w:pPr>
            <w:r>
              <w:t>95 000</w:t>
            </w:r>
          </w:p>
        </w:tc>
      </w:tr>
      <w:tr w:rsidR="00822BDE" w:rsidTr="00822BDE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5.</w:t>
            </w:r>
            <w:r w:rsidR="00822BDE">
              <w:t>zysk</w:t>
            </w:r>
            <w:proofErr w:type="spellEnd"/>
            <w:r w:rsidR="00822BDE">
              <w:t xml:space="preserve"> netto</w:t>
            </w:r>
          </w:p>
        </w:tc>
        <w:tc>
          <w:tcPr>
            <w:tcW w:w="1170" w:type="dxa"/>
          </w:tcPr>
          <w:p w:rsidR="00822BDE" w:rsidRDefault="0016421B" w:rsidP="004050D1">
            <w:pPr>
              <w:jc w:val="center"/>
            </w:pPr>
            <w:r>
              <w:t>81 000</w:t>
            </w:r>
          </w:p>
        </w:tc>
        <w:tc>
          <w:tcPr>
            <w:tcW w:w="1171" w:type="dxa"/>
          </w:tcPr>
          <w:p w:rsidR="00822BDE" w:rsidRDefault="0016421B" w:rsidP="004050D1">
            <w:pPr>
              <w:jc w:val="center"/>
            </w:pPr>
            <w:r w:rsidRPr="0016421B">
              <w:t>81 000</w:t>
            </w:r>
          </w:p>
        </w:tc>
        <w:tc>
          <w:tcPr>
            <w:tcW w:w="1172" w:type="dxa"/>
          </w:tcPr>
          <w:p w:rsidR="00822BDE" w:rsidRDefault="0016421B" w:rsidP="004050D1">
            <w:pPr>
              <w:jc w:val="center"/>
            </w:pPr>
            <w:r w:rsidRPr="0016421B">
              <w:t>81 000</w:t>
            </w:r>
          </w:p>
        </w:tc>
        <w:tc>
          <w:tcPr>
            <w:tcW w:w="1244" w:type="dxa"/>
          </w:tcPr>
          <w:p w:rsidR="00822BDE" w:rsidRDefault="0016421B" w:rsidP="004050D1">
            <w:pPr>
              <w:jc w:val="center"/>
            </w:pPr>
            <w:r w:rsidRPr="0016421B">
              <w:t>81 000</w:t>
            </w:r>
          </w:p>
        </w:tc>
        <w:tc>
          <w:tcPr>
            <w:tcW w:w="1172" w:type="dxa"/>
          </w:tcPr>
          <w:p w:rsidR="00822BDE" w:rsidRDefault="0016421B" w:rsidP="004050D1">
            <w:pPr>
              <w:jc w:val="center"/>
            </w:pPr>
            <w:r w:rsidRPr="0016421B">
              <w:t>81 000</w:t>
            </w:r>
          </w:p>
        </w:tc>
        <w:tc>
          <w:tcPr>
            <w:tcW w:w="1211" w:type="dxa"/>
          </w:tcPr>
          <w:p w:rsidR="00822BDE" w:rsidRDefault="0016421B" w:rsidP="004050D1">
            <w:pPr>
              <w:jc w:val="center"/>
            </w:pPr>
            <w:r w:rsidRPr="0016421B">
              <w:t>81 000</w:t>
            </w:r>
          </w:p>
        </w:tc>
      </w:tr>
      <w:tr w:rsidR="00822BDE" w:rsidTr="00822BDE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6.</w:t>
            </w:r>
            <w:r w:rsidR="00822BDE">
              <w:t>nadwyżka</w:t>
            </w:r>
            <w:proofErr w:type="spellEnd"/>
            <w:r w:rsidR="00822BDE">
              <w:t xml:space="preserve"> finansowa (2 + 5)</w:t>
            </w:r>
          </w:p>
        </w:tc>
        <w:tc>
          <w:tcPr>
            <w:tcW w:w="1170" w:type="dxa"/>
          </w:tcPr>
          <w:p w:rsidR="00822BDE" w:rsidRDefault="0016421B" w:rsidP="004050D1">
            <w:pPr>
              <w:jc w:val="center"/>
            </w:pPr>
            <w:r>
              <w:t>281 000</w:t>
            </w:r>
          </w:p>
        </w:tc>
        <w:tc>
          <w:tcPr>
            <w:tcW w:w="1171" w:type="dxa"/>
          </w:tcPr>
          <w:p w:rsidR="00822BDE" w:rsidRDefault="0016421B" w:rsidP="004050D1">
            <w:pPr>
              <w:jc w:val="center"/>
            </w:pPr>
            <w:r w:rsidRPr="0016421B">
              <w:t>281 000</w:t>
            </w:r>
          </w:p>
        </w:tc>
        <w:tc>
          <w:tcPr>
            <w:tcW w:w="1172" w:type="dxa"/>
          </w:tcPr>
          <w:p w:rsidR="00822BDE" w:rsidRDefault="0016421B" w:rsidP="004050D1">
            <w:pPr>
              <w:jc w:val="center"/>
            </w:pPr>
            <w:r w:rsidRPr="0016421B">
              <w:t>281 000</w:t>
            </w:r>
          </w:p>
        </w:tc>
        <w:tc>
          <w:tcPr>
            <w:tcW w:w="1244" w:type="dxa"/>
          </w:tcPr>
          <w:p w:rsidR="00822BDE" w:rsidRDefault="0016421B" w:rsidP="004050D1">
            <w:pPr>
              <w:jc w:val="center"/>
            </w:pPr>
            <w:r w:rsidRPr="0016421B">
              <w:t>281 000</w:t>
            </w:r>
          </w:p>
        </w:tc>
        <w:tc>
          <w:tcPr>
            <w:tcW w:w="1172" w:type="dxa"/>
          </w:tcPr>
          <w:p w:rsidR="00822BDE" w:rsidRDefault="0016421B" w:rsidP="004050D1">
            <w:pPr>
              <w:jc w:val="center"/>
            </w:pPr>
            <w:r w:rsidRPr="0016421B">
              <w:t>281 000</w:t>
            </w:r>
          </w:p>
        </w:tc>
        <w:tc>
          <w:tcPr>
            <w:tcW w:w="1211" w:type="dxa"/>
          </w:tcPr>
          <w:p w:rsidR="00822BDE" w:rsidRDefault="0016421B" w:rsidP="004050D1">
            <w:pPr>
              <w:jc w:val="center"/>
            </w:pPr>
            <w:r>
              <w:t>1 450 000</w:t>
            </w:r>
          </w:p>
        </w:tc>
      </w:tr>
    </w:tbl>
    <w:p w:rsidR="00822BDE" w:rsidRDefault="00822BDE" w:rsidP="00822BDE"/>
    <w:p w:rsidR="004050D1" w:rsidRDefault="004050D1" w:rsidP="00822BDE"/>
    <w:p w:rsidR="00822BDE" w:rsidRDefault="004050D1" w:rsidP="00822BDE">
      <w: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2"/>
        <w:gridCol w:w="1182"/>
        <w:gridCol w:w="1183"/>
        <w:gridCol w:w="1184"/>
        <w:gridCol w:w="1184"/>
        <w:gridCol w:w="1184"/>
        <w:gridCol w:w="1223"/>
      </w:tblGrid>
      <w:tr w:rsidR="00822BDE" w:rsidTr="0016421B">
        <w:tc>
          <w:tcPr>
            <w:tcW w:w="1922" w:type="dxa"/>
          </w:tcPr>
          <w:p w:rsidR="00822BDE" w:rsidRDefault="00822BDE" w:rsidP="004050D1">
            <w:pPr>
              <w:jc w:val="left"/>
            </w:pPr>
            <w:r>
              <w:t>wyszczególnienie</w:t>
            </w:r>
          </w:p>
        </w:tc>
        <w:tc>
          <w:tcPr>
            <w:tcW w:w="1182" w:type="dxa"/>
          </w:tcPr>
          <w:p w:rsidR="00822BDE" w:rsidRDefault="00822BDE" w:rsidP="004050D1">
            <w:pPr>
              <w:jc w:val="center"/>
            </w:pPr>
            <w:r>
              <w:t>rok 1</w:t>
            </w:r>
          </w:p>
        </w:tc>
        <w:tc>
          <w:tcPr>
            <w:tcW w:w="1183" w:type="dxa"/>
          </w:tcPr>
          <w:p w:rsidR="00822BDE" w:rsidRDefault="00822BDE" w:rsidP="004050D1">
            <w:pPr>
              <w:jc w:val="center"/>
            </w:pPr>
            <w:r>
              <w:t>rok 2</w:t>
            </w:r>
          </w:p>
        </w:tc>
        <w:tc>
          <w:tcPr>
            <w:tcW w:w="1184" w:type="dxa"/>
          </w:tcPr>
          <w:p w:rsidR="00822BDE" w:rsidRDefault="00822BDE" w:rsidP="004050D1">
            <w:pPr>
              <w:jc w:val="center"/>
            </w:pPr>
            <w:r>
              <w:t>rok 3</w:t>
            </w:r>
          </w:p>
        </w:tc>
        <w:tc>
          <w:tcPr>
            <w:tcW w:w="1184" w:type="dxa"/>
          </w:tcPr>
          <w:p w:rsidR="00822BDE" w:rsidRDefault="00822BDE" w:rsidP="004050D1">
            <w:pPr>
              <w:jc w:val="center"/>
            </w:pPr>
            <w:r>
              <w:t>rok 4</w:t>
            </w:r>
          </w:p>
        </w:tc>
        <w:tc>
          <w:tcPr>
            <w:tcW w:w="1184" w:type="dxa"/>
          </w:tcPr>
          <w:p w:rsidR="00822BDE" w:rsidRDefault="00822BDE" w:rsidP="004050D1">
            <w:pPr>
              <w:jc w:val="center"/>
            </w:pPr>
            <w:r>
              <w:t>rok 5</w:t>
            </w:r>
          </w:p>
        </w:tc>
        <w:tc>
          <w:tcPr>
            <w:tcW w:w="1223" w:type="dxa"/>
          </w:tcPr>
          <w:p w:rsidR="00822BDE" w:rsidRDefault="00822BDE" w:rsidP="004050D1">
            <w:pPr>
              <w:jc w:val="center"/>
            </w:pPr>
            <w:r>
              <w:t>razem</w:t>
            </w:r>
          </w:p>
        </w:tc>
      </w:tr>
      <w:tr w:rsidR="0016421B" w:rsidTr="0016421B">
        <w:tc>
          <w:tcPr>
            <w:tcW w:w="1922" w:type="dxa"/>
          </w:tcPr>
          <w:p w:rsidR="0016421B" w:rsidRDefault="00B24990" w:rsidP="004050D1">
            <w:pPr>
              <w:spacing w:line="240" w:lineRule="auto"/>
              <w:jc w:val="left"/>
            </w:pPr>
            <w:proofErr w:type="spellStart"/>
            <w:r>
              <w:t>1.</w:t>
            </w:r>
            <w:r w:rsidR="0016421B">
              <w:t>zysk</w:t>
            </w:r>
            <w:proofErr w:type="spellEnd"/>
            <w:r w:rsidR="0016421B">
              <w:t xml:space="preserve"> na sprzedaży (bez amortyzacji)</w:t>
            </w:r>
          </w:p>
        </w:tc>
        <w:tc>
          <w:tcPr>
            <w:tcW w:w="1182" w:type="dxa"/>
          </w:tcPr>
          <w:p w:rsidR="0016421B" w:rsidRDefault="0016421B" w:rsidP="004050D1">
            <w:pPr>
              <w:jc w:val="center"/>
            </w:pPr>
            <w:r>
              <w:t>300 000</w:t>
            </w:r>
          </w:p>
        </w:tc>
        <w:tc>
          <w:tcPr>
            <w:tcW w:w="1183" w:type="dxa"/>
          </w:tcPr>
          <w:p w:rsidR="0016421B" w:rsidRDefault="0016421B" w:rsidP="004050D1">
            <w:pPr>
              <w:jc w:val="center"/>
            </w:pPr>
            <w:r w:rsidRPr="00822BDE">
              <w:t>300 000</w:t>
            </w:r>
          </w:p>
        </w:tc>
        <w:tc>
          <w:tcPr>
            <w:tcW w:w="1184" w:type="dxa"/>
          </w:tcPr>
          <w:p w:rsidR="0016421B" w:rsidRDefault="0016421B" w:rsidP="004050D1">
            <w:pPr>
              <w:jc w:val="center"/>
            </w:pPr>
            <w:r w:rsidRPr="00822BDE">
              <w:t>300 000</w:t>
            </w:r>
          </w:p>
        </w:tc>
        <w:tc>
          <w:tcPr>
            <w:tcW w:w="1184" w:type="dxa"/>
          </w:tcPr>
          <w:p w:rsidR="0016421B" w:rsidRDefault="0016421B" w:rsidP="004050D1">
            <w:pPr>
              <w:jc w:val="center"/>
            </w:pPr>
            <w:r w:rsidRPr="00822BDE">
              <w:t>300 000</w:t>
            </w:r>
          </w:p>
        </w:tc>
        <w:tc>
          <w:tcPr>
            <w:tcW w:w="1184" w:type="dxa"/>
          </w:tcPr>
          <w:p w:rsidR="0016421B" w:rsidRDefault="0016421B" w:rsidP="004050D1">
            <w:pPr>
              <w:jc w:val="center"/>
            </w:pPr>
            <w:r w:rsidRPr="00822BDE">
              <w:t>300 000</w:t>
            </w:r>
          </w:p>
        </w:tc>
        <w:tc>
          <w:tcPr>
            <w:tcW w:w="1223" w:type="dxa"/>
          </w:tcPr>
          <w:p w:rsidR="0016421B" w:rsidRDefault="0016421B" w:rsidP="004050D1">
            <w:pPr>
              <w:jc w:val="center"/>
            </w:pPr>
            <w:r>
              <w:t>1 500 00</w:t>
            </w:r>
          </w:p>
        </w:tc>
      </w:tr>
      <w:tr w:rsidR="00822BDE" w:rsidTr="0016421B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2.</w:t>
            </w:r>
            <w:r w:rsidR="00822BDE">
              <w:t>amortyzacja</w:t>
            </w:r>
            <w:proofErr w:type="spellEnd"/>
          </w:p>
        </w:tc>
        <w:tc>
          <w:tcPr>
            <w:tcW w:w="1182" w:type="dxa"/>
          </w:tcPr>
          <w:p w:rsidR="00822BDE" w:rsidRDefault="0016421B" w:rsidP="004050D1">
            <w:pPr>
              <w:jc w:val="center"/>
            </w:pPr>
            <w:r>
              <w:t>280 000</w:t>
            </w:r>
          </w:p>
        </w:tc>
        <w:tc>
          <w:tcPr>
            <w:tcW w:w="1183" w:type="dxa"/>
          </w:tcPr>
          <w:p w:rsidR="00822BDE" w:rsidRDefault="0016421B" w:rsidP="004050D1">
            <w:pPr>
              <w:jc w:val="center"/>
            </w:pPr>
            <w:r>
              <w:t>201 600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200 000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200 000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118 400</w:t>
            </w:r>
          </w:p>
        </w:tc>
        <w:tc>
          <w:tcPr>
            <w:tcW w:w="1223" w:type="dxa"/>
          </w:tcPr>
          <w:p w:rsidR="00822BDE" w:rsidRDefault="0016421B" w:rsidP="004050D1">
            <w:pPr>
              <w:jc w:val="center"/>
            </w:pPr>
            <w:r>
              <w:t>1 000 000</w:t>
            </w:r>
          </w:p>
        </w:tc>
      </w:tr>
      <w:tr w:rsidR="00822BDE" w:rsidTr="0016421B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3.</w:t>
            </w:r>
            <w:r w:rsidR="00822BDE">
              <w:t>zysk</w:t>
            </w:r>
            <w:proofErr w:type="spellEnd"/>
            <w:r w:rsidR="00822BDE">
              <w:t xml:space="preserve"> na sprzedaży (1-2)</w:t>
            </w:r>
          </w:p>
        </w:tc>
        <w:tc>
          <w:tcPr>
            <w:tcW w:w="1182" w:type="dxa"/>
          </w:tcPr>
          <w:p w:rsidR="00822BDE" w:rsidRDefault="0016421B" w:rsidP="004050D1">
            <w:pPr>
              <w:jc w:val="center"/>
            </w:pPr>
            <w:r>
              <w:t>20 000</w:t>
            </w:r>
          </w:p>
        </w:tc>
        <w:tc>
          <w:tcPr>
            <w:tcW w:w="1183" w:type="dxa"/>
          </w:tcPr>
          <w:p w:rsidR="00822BDE" w:rsidRDefault="0016421B" w:rsidP="004050D1">
            <w:pPr>
              <w:jc w:val="center"/>
            </w:pPr>
            <w:r>
              <w:t>98 400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100 000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100 000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181 600</w:t>
            </w:r>
          </w:p>
        </w:tc>
        <w:tc>
          <w:tcPr>
            <w:tcW w:w="1223" w:type="dxa"/>
          </w:tcPr>
          <w:p w:rsidR="00822BDE" w:rsidRDefault="0016421B" w:rsidP="004050D1">
            <w:pPr>
              <w:jc w:val="center"/>
            </w:pPr>
            <w:r>
              <w:t>1 000 000</w:t>
            </w:r>
          </w:p>
        </w:tc>
      </w:tr>
      <w:tr w:rsidR="00822BDE" w:rsidTr="0016421B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4.</w:t>
            </w:r>
            <w:r w:rsidR="00822BDE">
              <w:t>podatek</w:t>
            </w:r>
            <w:proofErr w:type="spellEnd"/>
            <w:r w:rsidR="00822BDE">
              <w:t xml:space="preserve"> dochodowy</w:t>
            </w:r>
          </w:p>
        </w:tc>
        <w:tc>
          <w:tcPr>
            <w:tcW w:w="1182" w:type="dxa"/>
          </w:tcPr>
          <w:p w:rsidR="00822BDE" w:rsidRDefault="0016421B" w:rsidP="004050D1">
            <w:pPr>
              <w:jc w:val="center"/>
            </w:pPr>
            <w:r>
              <w:t>3 800</w:t>
            </w:r>
          </w:p>
        </w:tc>
        <w:tc>
          <w:tcPr>
            <w:tcW w:w="1183" w:type="dxa"/>
          </w:tcPr>
          <w:p w:rsidR="00822BDE" w:rsidRDefault="0016421B" w:rsidP="004050D1">
            <w:pPr>
              <w:jc w:val="center"/>
            </w:pPr>
            <w:r>
              <w:t>18 696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19 000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19 000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34 504</w:t>
            </w:r>
          </w:p>
        </w:tc>
        <w:tc>
          <w:tcPr>
            <w:tcW w:w="1223" w:type="dxa"/>
          </w:tcPr>
          <w:p w:rsidR="00822BDE" w:rsidRDefault="0016421B" w:rsidP="004050D1">
            <w:pPr>
              <w:jc w:val="center"/>
            </w:pPr>
            <w:r>
              <w:t>95 000</w:t>
            </w:r>
          </w:p>
        </w:tc>
      </w:tr>
      <w:tr w:rsidR="00822BDE" w:rsidTr="0016421B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5.</w:t>
            </w:r>
            <w:r w:rsidR="00822BDE">
              <w:t>zysk</w:t>
            </w:r>
            <w:proofErr w:type="spellEnd"/>
            <w:r w:rsidR="00822BDE">
              <w:t xml:space="preserve"> netto</w:t>
            </w:r>
          </w:p>
        </w:tc>
        <w:tc>
          <w:tcPr>
            <w:tcW w:w="1182" w:type="dxa"/>
          </w:tcPr>
          <w:p w:rsidR="00822BDE" w:rsidRDefault="0016421B" w:rsidP="004050D1">
            <w:pPr>
              <w:jc w:val="center"/>
            </w:pPr>
            <w:r>
              <w:t>16 200</w:t>
            </w:r>
          </w:p>
        </w:tc>
        <w:tc>
          <w:tcPr>
            <w:tcW w:w="1183" w:type="dxa"/>
          </w:tcPr>
          <w:p w:rsidR="00822BDE" w:rsidRDefault="0016421B" w:rsidP="004050D1">
            <w:pPr>
              <w:jc w:val="center"/>
            </w:pPr>
            <w:r>
              <w:t>79 704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81 000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81 000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147 096</w:t>
            </w:r>
          </w:p>
        </w:tc>
        <w:tc>
          <w:tcPr>
            <w:tcW w:w="1223" w:type="dxa"/>
          </w:tcPr>
          <w:p w:rsidR="00822BDE" w:rsidRDefault="0016421B" w:rsidP="004050D1">
            <w:pPr>
              <w:jc w:val="center"/>
            </w:pPr>
            <w:r>
              <w:t>405 000</w:t>
            </w:r>
          </w:p>
        </w:tc>
      </w:tr>
      <w:tr w:rsidR="00822BDE" w:rsidTr="0016421B">
        <w:tc>
          <w:tcPr>
            <w:tcW w:w="1922" w:type="dxa"/>
          </w:tcPr>
          <w:p w:rsidR="00822BDE" w:rsidRDefault="00B24990" w:rsidP="004050D1">
            <w:pPr>
              <w:spacing w:line="240" w:lineRule="auto"/>
              <w:jc w:val="left"/>
            </w:pPr>
            <w:proofErr w:type="spellStart"/>
            <w:r>
              <w:t>6.</w:t>
            </w:r>
            <w:r w:rsidR="00822BDE">
              <w:t>nadwyżka</w:t>
            </w:r>
            <w:proofErr w:type="spellEnd"/>
            <w:r w:rsidR="00822BDE">
              <w:t xml:space="preserve"> finansowa (2 + 5)</w:t>
            </w:r>
          </w:p>
        </w:tc>
        <w:tc>
          <w:tcPr>
            <w:tcW w:w="1182" w:type="dxa"/>
          </w:tcPr>
          <w:p w:rsidR="00822BDE" w:rsidRDefault="0016421B" w:rsidP="004050D1">
            <w:pPr>
              <w:jc w:val="center"/>
            </w:pPr>
            <w:r>
              <w:t>296 200</w:t>
            </w:r>
          </w:p>
        </w:tc>
        <w:tc>
          <w:tcPr>
            <w:tcW w:w="1183" w:type="dxa"/>
          </w:tcPr>
          <w:p w:rsidR="00822BDE" w:rsidRDefault="0016421B" w:rsidP="004050D1">
            <w:pPr>
              <w:jc w:val="center"/>
            </w:pPr>
            <w:r>
              <w:t>281 304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281 000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281 000</w:t>
            </w:r>
          </w:p>
        </w:tc>
        <w:tc>
          <w:tcPr>
            <w:tcW w:w="1184" w:type="dxa"/>
          </w:tcPr>
          <w:p w:rsidR="00822BDE" w:rsidRDefault="0016421B" w:rsidP="004050D1">
            <w:pPr>
              <w:jc w:val="center"/>
            </w:pPr>
            <w:r>
              <w:t>265 496</w:t>
            </w:r>
          </w:p>
        </w:tc>
        <w:tc>
          <w:tcPr>
            <w:tcW w:w="1223" w:type="dxa"/>
          </w:tcPr>
          <w:p w:rsidR="00822BDE" w:rsidRDefault="0016421B" w:rsidP="004050D1">
            <w:pPr>
              <w:jc w:val="center"/>
            </w:pPr>
            <w:r>
              <w:t>1 405 000</w:t>
            </w:r>
          </w:p>
        </w:tc>
      </w:tr>
    </w:tbl>
    <w:p w:rsidR="000E53E0" w:rsidRDefault="000E53E0" w:rsidP="00822BDE"/>
    <w:p w:rsidR="004447B6" w:rsidRDefault="004447B6" w:rsidP="00822BDE"/>
    <w:p w:rsidR="004447B6" w:rsidRDefault="004447B6" w:rsidP="00822BDE"/>
    <w:p w:rsidR="004447B6" w:rsidRDefault="004447B6" w:rsidP="00822BDE"/>
    <w:p w:rsidR="004447B6" w:rsidRDefault="004447B6" w:rsidP="00822BDE"/>
    <w:p w:rsidR="004447B6" w:rsidRDefault="004447B6" w:rsidP="00822BDE"/>
    <w:p w:rsidR="004447B6" w:rsidRDefault="004447B6" w:rsidP="00822BDE"/>
    <w:p w:rsidR="004447B6" w:rsidRDefault="004447B6" w:rsidP="00822BDE"/>
    <w:p w:rsidR="004447B6" w:rsidRPr="004447B6" w:rsidRDefault="004447B6" w:rsidP="004447B6">
      <w:pPr>
        <w:pStyle w:val="Akapitzlist"/>
        <w:numPr>
          <w:ilvl w:val="0"/>
          <w:numId w:val="2"/>
        </w:numPr>
        <w:rPr>
          <w:b/>
        </w:rPr>
      </w:pPr>
      <w:r w:rsidRPr="004447B6">
        <w:rPr>
          <w:b/>
        </w:rPr>
        <w:t>Wpływ podziału wyniku finansowego na sprawozdanie finansowe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3"/>
        <w:gridCol w:w="67"/>
        <w:gridCol w:w="1320"/>
        <w:gridCol w:w="381"/>
        <w:gridCol w:w="142"/>
        <w:gridCol w:w="837"/>
        <w:gridCol w:w="438"/>
        <w:gridCol w:w="426"/>
        <w:gridCol w:w="3685"/>
      </w:tblGrid>
      <w:tr w:rsidR="004447B6" w:rsidRPr="004447B6" w:rsidTr="004447B6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Wpływ podziału wyniku na pozycje bilansu</w:t>
            </w:r>
          </w:p>
        </w:tc>
      </w:tr>
      <w:tr w:rsidR="004447B6" w:rsidRPr="004447B6" w:rsidTr="004447B6">
        <w:trPr>
          <w:trHeight w:val="300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47B6" w:rsidRPr="004447B6" w:rsidTr="004447B6">
        <w:trPr>
          <w:trHeight w:val="52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Zdarzenie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Pozycja bilansu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Wpływ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Komentarz</w:t>
            </w:r>
          </w:p>
        </w:tc>
      </w:tr>
      <w:tr w:rsidR="004447B6" w:rsidRPr="004447B6" w:rsidTr="004447B6">
        <w:trPr>
          <w:trHeight w:val="900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Wypracowanie zysku netto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Zysk netto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Zwiększenie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Zwiększeniu ulega wartość kapitałów własnych oraz odpowiednio sumy bilansowej</w:t>
            </w:r>
          </w:p>
        </w:tc>
      </w:tr>
      <w:tr w:rsidR="004447B6" w:rsidRPr="004447B6" w:rsidTr="004447B6">
        <w:trPr>
          <w:trHeight w:val="600"/>
        </w:trPr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Przeniesienie zysku netto na kapitał zapasowy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Kapitał zapasowy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Zwiększenie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Nie powoduje to zmiany kapitałów</w:t>
            </w:r>
            <w:r w:rsidR="00333522">
              <w:rPr>
                <w:color w:val="000000"/>
                <w:sz w:val="22"/>
                <w:szCs w:val="22"/>
              </w:rPr>
              <w:t xml:space="preserve"> …………… i …………………..</w:t>
            </w:r>
            <w:r w:rsidRPr="004447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4447B6" w:rsidRPr="004447B6" w:rsidTr="004447B6">
        <w:trPr>
          <w:trHeight w:val="600"/>
        </w:trPr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Zysk netto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Zmniejszenie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47B6" w:rsidRPr="004447B6" w:rsidTr="004447B6">
        <w:trPr>
          <w:trHeight w:val="900"/>
        </w:trPr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Określenie kwot należnych właścicielom do wypłaty jako dywidendy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333522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Zwiększenie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Następuje zmniejszenie kapitałów własnych i zwiększenie zobowiązań ogółem</w:t>
            </w:r>
          </w:p>
        </w:tc>
      </w:tr>
      <w:tr w:rsidR="004447B6" w:rsidRPr="004447B6" w:rsidTr="004447B6">
        <w:trPr>
          <w:trHeight w:val="810"/>
        </w:trPr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Zysk netto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Zmniejszenie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47B6" w:rsidRPr="004447B6" w:rsidTr="004447B6">
        <w:trPr>
          <w:trHeight w:val="765"/>
        </w:trPr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 xml:space="preserve">Wypłata dywidendy na rzecz właścicieli 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333522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333522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Zmniejsza się suma bilansowa</w:t>
            </w:r>
          </w:p>
        </w:tc>
      </w:tr>
      <w:tr w:rsidR="004447B6" w:rsidRPr="004447B6" w:rsidTr="004447B6">
        <w:trPr>
          <w:trHeight w:val="990"/>
        </w:trPr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Zobowiązania wobec właścicieli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Zmniejszenie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47B6" w:rsidRPr="004447B6" w:rsidTr="004447B6">
        <w:trPr>
          <w:trHeight w:val="900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Wypracowanie straty netto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Zysk (Strata)  netto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Zmniejszenie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Zmniejszeniu ulega wartość kapitałów własnych i odpowiednio sumy bilansowej</w:t>
            </w:r>
          </w:p>
        </w:tc>
      </w:tr>
      <w:tr w:rsidR="004447B6" w:rsidRPr="004447B6" w:rsidTr="004447B6">
        <w:trPr>
          <w:trHeight w:val="705"/>
        </w:trPr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Pokrycie straty kapitałem zapasowym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Kapitał zapasowy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Zmniejszenie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Operacja dokonywana w obrębie kapitałów własnych, nie powoduje ich zmiany</w:t>
            </w:r>
          </w:p>
        </w:tc>
      </w:tr>
      <w:tr w:rsidR="004447B6" w:rsidRPr="004447B6" w:rsidTr="004447B6">
        <w:trPr>
          <w:trHeight w:val="675"/>
        </w:trPr>
        <w:tc>
          <w:tcPr>
            <w:tcW w:w="19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Zysk (Strata)  netto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Zwiększenie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47B6" w:rsidRPr="004447B6" w:rsidTr="004447B6">
        <w:trPr>
          <w:trHeight w:val="300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47B6" w:rsidRPr="004447B6" w:rsidTr="004447B6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Default="004447B6" w:rsidP="00B2499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B24990" w:rsidRDefault="00B24990" w:rsidP="00B2499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B24990" w:rsidRDefault="00B24990" w:rsidP="00B2499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B24990" w:rsidRDefault="00B24990" w:rsidP="00B2499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B24990" w:rsidRDefault="00B24990" w:rsidP="00B2499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B24990" w:rsidRDefault="00B24990" w:rsidP="00B24990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Wpływ podziału wyniku na pozycje rachunku zysków i strat</w:t>
            </w:r>
          </w:p>
        </w:tc>
      </w:tr>
      <w:tr w:rsidR="004447B6" w:rsidRPr="004447B6" w:rsidTr="004447B6">
        <w:trPr>
          <w:trHeight w:val="30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47B6" w:rsidRPr="004447B6" w:rsidTr="004447B6">
        <w:trPr>
          <w:trHeight w:val="52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Zdarzenie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 xml:space="preserve">Pozycja </w:t>
            </w:r>
            <w:proofErr w:type="spellStart"/>
            <w:r w:rsidRPr="004447B6">
              <w:rPr>
                <w:color w:val="000000"/>
                <w:sz w:val="22"/>
                <w:szCs w:val="22"/>
              </w:rPr>
              <w:t>RZiS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Wpływ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Komentarz</w:t>
            </w:r>
          </w:p>
        </w:tc>
      </w:tr>
      <w:tr w:rsidR="004447B6" w:rsidRPr="004447B6" w:rsidTr="004447B6">
        <w:trPr>
          <w:trHeight w:val="15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Wypracowanie zysku netto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Zysk netto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istotny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 xml:space="preserve">Zysk netto jest pozycją wynikową </w:t>
            </w:r>
            <w:proofErr w:type="spellStart"/>
            <w:r w:rsidRPr="004447B6">
              <w:rPr>
                <w:color w:val="000000"/>
                <w:sz w:val="22"/>
                <w:szCs w:val="22"/>
              </w:rPr>
              <w:t>RZiS</w:t>
            </w:r>
            <w:proofErr w:type="spellEnd"/>
            <w:r w:rsidRPr="004447B6">
              <w:rPr>
                <w:color w:val="000000"/>
                <w:sz w:val="22"/>
                <w:szCs w:val="22"/>
              </w:rPr>
              <w:t>. Jego wartość jest następnie przenoszona do bilansu i rachunku przepływów pieniężnych.</w:t>
            </w:r>
          </w:p>
        </w:tc>
      </w:tr>
      <w:tr w:rsidR="004447B6" w:rsidRPr="004447B6" w:rsidTr="004447B6">
        <w:trPr>
          <w:trHeight w:val="12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Ustalenie i wypłata dywidendy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333522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Brak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 xml:space="preserve">Zdarzenie to nie wpływa na żaden element </w:t>
            </w:r>
            <w:proofErr w:type="spellStart"/>
            <w:r w:rsidRPr="004447B6">
              <w:rPr>
                <w:color w:val="000000"/>
                <w:sz w:val="22"/>
                <w:szCs w:val="22"/>
              </w:rPr>
              <w:t>RZiS</w:t>
            </w:r>
            <w:proofErr w:type="spellEnd"/>
            <w:r w:rsidRPr="004447B6">
              <w:rPr>
                <w:color w:val="000000"/>
                <w:sz w:val="22"/>
                <w:szCs w:val="22"/>
              </w:rPr>
              <w:t xml:space="preserve"> lecz kwota jest podstawą do ustalenia dywidend.</w:t>
            </w:r>
          </w:p>
        </w:tc>
      </w:tr>
      <w:tr w:rsidR="004447B6" w:rsidRPr="004447B6" w:rsidTr="004447B6">
        <w:trPr>
          <w:trHeight w:val="12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Przeniesienie zysku na kapitał zapasowy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Brak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 xml:space="preserve">Zdarzenie to nie wpływa na żaden element </w:t>
            </w:r>
            <w:proofErr w:type="spellStart"/>
            <w:r w:rsidRPr="004447B6">
              <w:rPr>
                <w:color w:val="000000"/>
                <w:sz w:val="22"/>
                <w:szCs w:val="22"/>
              </w:rPr>
              <w:t>RZiS</w:t>
            </w:r>
            <w:proofErr w:type="spellEnd"/>
            <w:r w:rsidRPr="004447B6">
              <w:rPr>
                <w:color w:val="000000"/>
                <w:sz w:val="22"/>
                <w:szCs w:val="22"/>
              </w:rPr>
              <w:t xml:space="preserve"> lecz kwota jest podstawą do ustalenia odpisów na kapitał zapasowy.</w:t>
            </w:r>
          </w:p>
        </w:tc>
      </w:tr>
      <w:tr w:rsidR="004447B6" w:rsidRPr="004447B6" w:rsidTr="004447B6">
        <w:trPr>
          <w:trHeight w:val="30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A1590" w:rsidRDefault="00BA1590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A1590" w:rsidRPr="004447B6" w:rsidRDefault="00BA1590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47B6" w:rsidRPr="004447B6" w:rsidTr="004447B6">
        <w:trPr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Wpływ podziału wyniku na pozycje rachunku przepływów pieniężnych</w:t>
            </w:r>
          </w:p>
        </w:tc>
      </w:tr>
      <w:tr w:rsidR="004447B6" w:rsidRPr="004447B6" w:rsidTr="004447B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447B6" w:rsidRPr="004447B6" w:rsidTr="004447B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Zdarzenie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 xml:space="preserve">Pozycja </w:t>
            </w:r>
            <w:proofErr w:type="spellStart"/>
            <w:r w:rsidRPr="004447B6">
              <w:rPr>
                <w:color w:val="000000"/>
                <w:sz w:val="22"/>
                <w:szCs w:val="22"/>
              </w:rPr>
              <w:t>RPP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Wpływ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Komentarz</w:t>
            </w:r>
          </w:p>
        </w:tc>
      </w:tr>
      <w:tr w:rsidR="004447B6" w:rsidRPr="004447B6" w:rsidTr="004447B6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Wypracowanie zysku netto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Zysk netto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istotny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Zysk netto jest kategorią stanowiącą punkt wyjścia do ustalenia przepływów pieniężnych z działalności operacyjnej metodą pośrednią.</w:t>
            </w:r>
          </w:p>
        </w:tc>
      </w:tr>
      <w:tr w:rsidR="004447B6" w:rsidRPr="004447B6" w:rsidTr="004447B6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Ustalenie i wypłata dywidendy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Dywidendy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Wydatek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4447B6">
              <w:rPr>
                <w:color w:val="000000"/>
                <w:sz w:val="22"/>
                <w:szCs w:val="22"/>
              </w:rPr>
              <w:t>RPP</w:t>
            </w:r>
            <w:proofErr w:type="spellEnd"/>
            <w:r w:rsidRPr="004447B6">
              <w:rPr>
                <w:color w:val="000000"/>
                <w:sz w:val="22"/>
                <w:szCs w:val="22"/>
              </w:rPr>
              <w:t xml:space="preserve"> zawarta jest informacja o wypłaconej dywidendzie w części poświęconej przepływom z działalności finansowej.</w:t>
            </w:r>
          </w:p>
        </w:tc>
      </w:tr>
      <w:tr w:rsidR="004447B6" w:rsidRPr="004447B6" w:rsidTr="004447B6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Przeniesienie zysku na kapitał zapasowy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Brak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7B6" w:rsidRPr="004447B6" w:rsidRDefault="004447B6" w:rsidP="004447B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447B6">
              <w:rPr>
                <w:color w:val="000000"/>
                <w:sz w:val="22"/>
                <w:szCs w:val="22"/>
              </w:rPr>
              <w:t>Zasilenie kapitału zapasowego z zysku netto nie jest związane z przepływem środków pieniężnych.</w:t>
            </w:r>
          </w:p>
        </w:tc>
      </w:tr>
    </w:tbl>
    <w:p w:rsidR="004447B6" w:rsidRDefault="004447B6" w:rsidP="00822BDE"/>
    <w:p w:rsidR="009E7621" w:rsidRDefault="009E7621" w:rsidP="00822BDE"/>
    <w:p w:rsidR="003F7655" w:rsidRDefault="003F7655" w:rsidP="00822BDE"/>
    <w:p w:rsidR="003F7655" w:rsidRDefault="003F7655" w:rsidP="00822BDE"/>
    <w:p w:rsidR="003F7655" w:rsidRDefault="003F7655" w:rsidP="00822BDE"/>
    <w:p w:rsidR="003F7655" w:rsidRDefault="003F7655" w:rsidP="00822BDE"/>
    <w:p w:rsidR="003F7655" w:rsidRDefault="003F7655" w:rsidP="00822BDE"/>
    <w:p w:rsidR="003F7655" w:rsidRDefault="003F7655" w:rsidP="00822BDE"/>
    <w:p w:rsidR="003F7655" w:rsidRDefault="003F7655" w:rsidP="00822BDE"/>
    <w:p w:rsidR="009E7621" w:rsidRPr="00BA4BC2" w:rsidRDefault="009E7621" w:rsidP="009E7621">
      <w:pPr>
        <w:pStyle w:val="Akapitzlist"/>
        <w:numPr>
          <w:ilvl w:val="0"/>
          <w:numId w:val="2"/>
        </w:numPr>
        <w:rPr>
          <w:b/>
        </w:rPr>
      </w:pPr>
      <w:r w:rsidRPr="00BA4BC2">
        <w:rPr>
          <w:b/>
        </w:rPr>
        <w:t>Koszt faktoringu</w:t>
      </w:r>
    </w:p>
    <w:p w:rsidR="009E7621" w:rsidRDefault="009E7621" w:rsidP="009E7621">
      <w:r>
        <w:t>Spóła z o.o. „ABC” zawarła w dniu 1 marca bieżącego roku z instytucja „FAKTOR” SA umowę, której podstawowe założenia są następujące:</w:t>
      </w:r>
    </w:p>
    <w:p w:rsidR="009E7621" w:rsidRDefault="009E7621" w:rsidP="009E7621">
      <w:pPr>
        <w:pStyle w:val="Akapitzlist"/>
        <w:numPr>
          <w:ilvl w:val="0"/>
          <w:numId w:val="3"/>
        </w:numPr>
      </w:pPr>
      <w:r>
        <w:t xml:space="preserve">Umowa faktoringowa dotyczy należności od przedsiębiorstwa </w:t>
      </w:r>
      <w:proofErr w:type="spellStart"/>
      <w:r>
        <w:t>XYZ</w:t>
      </w:r>
      <w:proofErr w:type="spellEnd"/>
      <w:r>
        <w:t>” za sprzedane produkty. Faktura została wystawiona 28 lutego bieżącego roku na kwotę 100.000 zł. Termin płatności ustalono na 30 kwietnia bieżącego roku.</w:t>
      </w:r>
    </w:p>
    <w:p w:rsidR="009E7621" w:rsidRDefault="009E7621" w:rsidP="009E7621">
      <w:pPr>
        <w:pStyle w:val="Akapitzlist"/>
        <w:numPr>
          <w:ilvl w:val="0"/>
          <w:numId w:val="3"/>
        </w:numPr>
      </w:pPr>
      <w:r>
        <w:t xml:space="preserve">Instytucja „FAKTOR” SA zapłaci 70% należności spółce „ABC” 3 marca br. Natomiast pozostała należność będzie wypłacona </w:t>
      </w:r>
      <w:r w:rsidR="00BA4BC2">
        <w:t>po zapłacie przez dłużnika, czyli 30 kwietnia.</w:t>
      </w:r>
    </w:p>
    <w:p w:rsidR="00BA4BC2" w:rsidRDefault="00BA4BC2" w:rsidP="009E7621">
      <w:pPr>
        <w:pStyle w:val="Akapitzlist"/>
        <w:numPr>
          <w:ilvl w:val="0"/>
          <w:numId w:val="3"/>
        </w:numPr>
      </w:pPr>
      <w:r>
        <w:t>Czas finasowania przez instytucję „FAKTOR” wynosi 59 dni.</w:t>
      </w:r>
    </w:p>
    <w:p w:rsidR="00BA4BC2" w:rsidRDefault="00BA4BC2" w:rsidP="009E7621">
      <w:pPr>
        <w:pStyle w:val="Akapitzlist"/>
        <w:numPr>
          <w:ilvl w:val="0"/>
          <w:numId w:val="3"/>
        </w:numPr>
      </w:pPr>
      <w:r>
        <w:t xml:space="preserve">Prowizja wynosi 1% wartości faktury, natomiast stopę dyskonta ustalono w skali roku na poziomie </w:t>
      </w:r>
      <w:r w:rsidR="00F134EB">
        <w:t>5% (</w:t>
      </w:r>
      <w:proofErr w:type="spellStart"/>
      <w:r w:rsidR="00F134EB">
        <w:t>WIBOR</w:t>
      </w:r>
      <w:proofErr w:type="spellEnd"/>
      <w:r w:rsidR="00F134EB">
        <w:t xml:space="preserve"> 1 M (wynoszący 1,66%)+</w:t>
      </w:r>
      <w:r w:rsidR="00D94749">
        <w:t xml:space="preserve"> marża </w:t>
      </w:r>
      <w:r w:rsidR="00F134EB">
        <w:t>3,34%).</w:t>
      </w:r>
    </w:p>
    <w:p w:rsidR="00F134EB" w:rsidRDefault="00F134EB" w:rsidP="00F134EB">
      <w:r>
        <w:t xml:space="preserve">Na podstawie przedstawionych </w:t>
      </w:r>
      <w:r w:rsidR="00D94749">
        <w:t>założeń</w:t>
      </w:r>
      <w:r>
        <w:t xml:space="preserve"> ocenić opłacalność</w:t>
      </w:r>
      <w:r w:rsidR="00D94749">
        <w:t xml:space="preserve"> umowy faktoringowej.</w:t>
      </w:r>
    </w:p>
    <w:p w:rsidR="00D94749" w:rsidRDefault="00D94749" w:rsidP="00F134EB"/>
    <w:p w:rsidR="00D94749" w:rsidRDefault="00D94749" w:rsidP="00F134EB">
      <w:r>
        <w:t>Z przedstawionych założeń wynika, że:</w:t>
      </w:r>
    </w:p>
    <w:p w:rsidR="00D94749" w:rsidRDefault="00D94749" w:rsidP="00D94749">
      <w:pPr>
        <w:pStyle w:val="Akapitzlist"/>
        <w:numPr>
          <w:ilvl w:val="0"/>
          <w:numId w:val="4"/>
        </w:numPr>
      </w:pPr>
      <w:r>
        <w:t xml:space="preserve">Spółka „ABC” 3 marca otrzymała kwotę 70.000 zł </w:t>
      </w:r>
      <w:r w:rsidR="00B24990">
        <w:t xml:space="preserve"> </w:t>
      </w:r>
      <w:bookmarkStart w:id="0" w:name="_GoBack"/>
      <w:bookmarkEnd w:id="0"/>
      <w:r>
        <w:t>(70% od 100.000 zł).</w:t>
      </w:r>
    </w:p>
    <w:p w:rsidR="00D94749" w:rsidRDefault="00D94749" w:rsidP="00D94749">
      <w:pPr>
        <w:pStyle w:val="Akapitzlist"/>
        <w:numPr>
          <w:ilvl w:val="0"/>
          <w:numId w:val="4"/>
        </w:numPr>
      </w:pPr>
      <w:r>
        <w:t xml:space="preserve">Instytucja „FAKTOR” </w:t>
      </w:r>
      <w:r w:rsidR="003F7655">
        <w:t>naliczy</w:t>
      </w:r>
      <w:r>
        <w:t xml:space="preserve"> prowizję w kwocie 1.000 zł (1% od 100.000 zł) oraz dyskonto  w wysokości  ………………………………………………..</w:t>
      </w:r>
    </w:p>
    <w:p w:rsidR="00D94749" w:rsidRDefault="00D94749" w:rsidP="00D94749">
      <w:pPr>
        <w:pStyle w:val="Akapitzlist"/>
        <w:numPr>
          <w:ilvl w:val="0"/>
          <w:numId w:val="4"/>
        </w:numPr>
      </w:pPr>
      <w:r>
        <w:t>Spółka „ABC” 30 kwietnia otrzyma pozostałą kwotę należności, która wynosi ……………………………………………………………………………………………</w:t>
      </w:r>
    </w:p>
    <w:p w:rsidR="003F7655" w:rsidRPr="004447B6" w:rsidRDefault="003F7655" w:rsidP="00D94749">
      <w:pPr>
        <w:pStyle w:val="Akapitzlist"/>
        <w:numPr>
          <w:ilvl w:val="0"/>
          <w:numId w:val="4"/>
        </w:numPr>
      </w:pPr>
      <w:r>
        <w:t>Rzeczywista stopa oprocentowania faktoringiem wynosi w skali roku ………………………………………………………………………………………….</w:t>
      </w:r>
    </w:p>
    <w:sectPr w:rsidR="003F7655" w:rsidRPr="004447B6" w:rsidSect="004447B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0D"/>
    <w:multiLevelType w:val="hybridMultilevel"/>
    <w:tmpl w:val="CB307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970"/>
    <w:multiLevelType w:val="hybridMultilevel"/>
    <w:tmpl w:val="96E8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F8D"/>
    <w:multiLevelType w:val="hybridMultilevel"/>
    <w:tmpl w:val="702C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2A72"/>
    <w:multiLevelType w:val="hybridMultilevel"/>
    <w:tmpl w:val="67FE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52"/>
    <w:rsid w:val="000E53E0"/>
    <w:rsid w:val="0016421B"/>
    <w:rsid w:val="001A5691"/>
    <w:rsid w:val="002236E8"/>
    <w:rsid w:val="00333522"/>
    <w:rsid w:val="00352F52"/>
    <w:rsid w:val="003E34A7"/>
    <w:rsid w:val="003F7655"/>
    <w:rsid w:val="004050D1"/>
    <w:rsid w:val="004447B6"/>
    <w:rsid w:val="006F4313"/>
    <w:rsid w:val="0079640E"/>
    <w:rsid w:val="00822806"/>
    <w:rsid w:val="00822BDE"/>
    <w:rsid w:val="00935D29"/>
    <w:rsid w:val="009E7621"/>
    <w:rsid w:val="00B24990"/>
    <w:rsid w:val="00BA1590"/>
    <w:rsid w:val="00BA4BC2"/>
    <w:rsid w:val="00CC772D"/>
    <w:rsid w:val="00D94749"/>
    <w:rsid w:val="00F134EB"/>
    <w:rsid w:val="00F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0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D29"/>
    <w:pPr>
      <w:ind w:left="720"/>
      <w:contextualSpacing/>
    </w:pPr>
  </w:style>
  <w:style w:type="table" w:styleId="Tabela-Siatka">
    <w:name w:val="Table Grid"/>
    <w:basedOn w:val="Standardowy"/>
    <w:uiPriority w:val="39"/>
    <w:rsid w:val="0082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0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D29"/>
    <w:pPr>
      <w:ind w:left="720"/>
      <w:contextualSpacing/>
    </w:pPr>
  </w:style>
  <w:style w:type="table" w:styleId="Tabela-Siatka">
    <w:name w:val="Table Grid"/>
    <w:basedOn w:val="Standardowy"/>
    <w:uiPriority w:val="39"/>
    <w:rsid w:val="0082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Miczek</dc:creator>
  <cp:lastModifiedBy>Irena Gutkowska-Miczek</cp:lastModifiedBy>
  <cp:revision>2</cp:revision>
  <dcterms:created xsi:type="dcterms:W3CDTF">2017-10-27T16:44:00Z</dcterms:created>
  <dcterms:modified xsi:type="dcterms:W3CDTF">2017-10-27T16:44:00Z</dcterms:modified>
</cp:coreProperties>
</file>